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276249" w:rsidRDefault="00D5547E" w:rsidP="00A81904">
      <w:pPr>
        <w:jc w:val="both"/>
        <w:rPr>
          <w:rFonts w:cs="Arial"/>
          <w:sz w:val="12"/>
        </w:rPr>
      </w:pPr>
    </w:p>
    <w:tbl>
      <w:tblPr>
        <w:tblW w:w="0" w:type="auto"/>
        <w:tblInd w:w="108" w:type="dxa"/>
        <w:tblLayout w:type="fixed"/>
        <w:tblLook w:val="04A0" w:firstRow="1" w:lastRow="0" w:firstColumn="1" w:lastColumn="0" w:noHBand="0" w:noVBand="1"/>
      </w:tblPr>
      <w:tblGrid>
        <w:gridCol w:w="2438"/>
        <w:gridCol w:w="6406"/>
      </w:tblGrid>
      <w:tr w:rsidR="00CE544A" w:rsidRPr="00276249" w:rsidTr="005F7F7E">
        <w:tc>
          <w:tcPr>
            <w:tcW w:w="2438" w:type="dxa"/>
            <w:shd w:val="clear" w:color="auto" w:fill="auto"/>
          </w:tcPr>
          <w:p w:rsidR="00F445B1" w:rsidRPr="00276249" w:rsidRDefault="00F445B1" w:rsidP="00A81904">
            <w:pPr>
              <w:jc w:val="both"/>
              <w:rPr>
                <w:rStyle w:val="Firstpagetablebold"/>
                <w:rFonts w:cs="Arial"/>
              </w:rPr>
            </w:pPr>
            <w:r w:rsidRPr="00276249">
              <w:rPr>
                <w:rStyle w:val="Firstpagetablebold"/>
                <w:rFonts w:cs="Arial"/>
              </w:rPr>
              <w:t>To</w:t>
            </w:r>
            <w:r w:rsidR="005C35A5" w:rsidRPr="00276249">
              <w:rPr>
                <w:rStyle w:val="Firstpagetablebold"/>
                <w:rFonts w:cs="Arial"/>
              </w:rPr>
              <w:t>:</w:t>
            </w:r>
          </w:p>
        </w:tc>
        <w:tc>
          <w:tcPr>
            <w:tcW w:w="6406" w:type="dxa"/>
            <w:shd w:val="clear" w:color="auto" w:fill="auto"/>
          </w:tcPr>
          <w:p w:rsidR="00F445B1" w:rsidRPr="00276249" w:rsidRDefault="00F445B1" w:rsidP="00A81904">
            <w:pPr>
              <w:jc w:val="both"/>
              <w:rPr>
                <w:rStyle w:val="Firstpagetablebold"/>
                <w:rFonts w:cs="Arial"/>
              </w:rPr>
            </w:pPr>
            <w:r w:rsidRPr="00276249">
              <w:rPr>
                <w:rStyle w:val="Firstpagetablebold"/>
                <w:rFonts w:cs="Arial"/>
              </w:rPr>
              <w:t>City Executive Board</w:t>
            </w:r>
          </w:p>
        </w:tc>
      </w:tr>
      <w:tr w:rsidR="00CE544A" w:rsidRPr="00276249" w:rsidTr="005F7F7E">
        <w:tc>
          <w:tcPr>
            <w:tcW w:w="2438" w:type="dxa"/>
            <w:shd w:val="clear" w:color="auto" w:fill="auto"/>
          </w:tcPr>
          <w:p w:rsidR="00F445B1" w:rsidRPr="00276249" w:rsidRDefault="00F445B1" w:rsidP="00A81904">
            <w:pPr>
              <w:jc w:val="both"/>
              <w:rPr>
                <w:rStyle w:val="Firstpagetablebold"/>
                <w:rFonts w:cs="Arial"/>
              </w:rPr>
            </w:pPr>
            <w:r w:rsidRPr="00276249">
              <w:rPr>
                <w:rStyle w:val="Firstpagetablebold"/>
                <w:rFonts w:cs="Arial"/>
              </w:rPr>
              <w:t>Dat</w:t>
            </w:r>
            <w:r w:rsidR="005C35A5" w:rsidRPr="00276249">
              <w:rPr>
                <w:rStyle w:val="Firstpagetablebold"/>
                <w:rFonts w:cs="Arial"/>
              </w:rPr>
              <w:t>e:</w:t>
            </w:r>
          </w:p>
        </w:tc>
        <w:tc>
          <w:tcPr>
            <w:tcW w:w="6406" w:type="dxa"/>
            <w:shd w:val="clear" w:color="auto" w:fill="auto"/>
          </w:tcPr>
          <w:p w:rsidR="00F445B1" w:rsidRPr="00276249" w:rsidRDefault="00B13A92" w:rsidP="00A81904">
            <w:pPr>
              <w:jc w:val="both"/>
              <w:rPr>
                <w:rFonts w:cs="Arial"/>
                <w:b/>
              </w:rPr>
            </w:pPr>
            <w:r w:rsidRPr="00276249">
              <w:rPr>
                <w:rStyle w:val="Firstpagetablebold"/>
                <w:rFonts w:cs="Arial"/>
              </w:rPr>
              <w:t>7 March 2019</w:t>
            </w:r>
          </w:p>
        </w:tc>
      </w:tr>
      <w:tr w:rsidR="00CE544A" w:rsidRPr="00276249" w:rsidTr="005F7F7E">
        <w:tc>
          <w:tcPr>
            <w:tcW w:w="2438" w:type="dxa"/>
            <w:shd w:val="clear" w:color="auto" w:fill="auto"/>
          </w:tcPr>
          <w:p w:rsidR="00F445B1" w:rsidRPr="00276249" w:rsidRDefault="00F445B1" w:rsidP="00A81904">
            <w:pPr>
              <w:jc w:val="both"/>
              <w:rPr>
                <w:rStyle w:val="Firstpagetablebold"/>
                <w:rFonts w:cs="Arial"/>
              </w:rPr>
            </w:pPr>
            <w:r w:rsidRPr="00276249">
              <w:rPr>
                <w:rStyle w:val="Firstpagetablebold"/>
                <w:rFonts w:cs="Arial"/>
              </w:rPr>
              <w:t>Report of</w:t>
            </w:r>
            <w:r w:rsidR="005C35A5" w:rsidRPr="00276249">
              <w:rPr>
                <w:rStyle w:val="Firstpagetablebold"/>
                <w:rFonts w:cs="Arial"/>
              </w:rPr>
              <w:t>:</w:t>
            </w:r>
          </w:p>
        </w:tc>
        <w:tc>
          <w:tcPr>
            <w:tcW w:w="6406" w:type="dxa"/>
            <w:shd w:val="clear" w:color="auto" w:fill="auto"/>
          </w:tcPr>
          <w:p w:rsidR="00F445B1" w:rsidRPr="00276249" w:rsidRDefault="000B53E9" w:rsidP="00A81904">
            <w:pPr>
              <w:jc w:val="both"/>
              <w:rPr>
                <w:rStyle w:val="Firstpagetablebold"/>
                <w:rFonts w:cs="Arial"/>
              </w:rPr>
            </w:pPr>
            <w:r w:rsidRPr="00276249">
              <w:rPr>
                <w:rStyle w:val="Firstpagetablebold"/>
                <w:rFonts w:cs="Arial"/>
              </w:rPr>
              <w:t>Head of Community Services</w:t>
            </w:r>
          </w:p>
        </w:tc>
      </w:tr>
      <w:tr w:rsidR="00CE544A" w:rsidRPr="00276249" w:rsidTr="005F7F7E">
        <w:tc>
          <w:tcPr>
            <w:tcW w:w="2438" w:type="dxa"/>
            <w:shd w:val="clear" w:color="auto" w:fill="auto"/>
          </w:tcPr>
          <w:p w:rsidR="00F445B1" w:rsidRPr="00276249" w:rsidRDefault="00F445B1" w:rsidP="00A81904">
            <w:pPr>
              <w:jc w:val="both"/>
              <w:rPr>
                <w:rStyle w:val="Firstpagetablebold"/>
                <w:rFonts w:cs="Arial"/>
              </w:rPr>
            </w:pPr>
            <w:r w:rsidRPr="00276249">
              <w:rPr>
                <w:rStyle w:val="Firstpagetablebold"/>
                <w:rFonts w:cs="Arial"/>
              </w:rPr>
              <w:t xml:space="preserve">Title of Report: </w:t>
            </w:r>
          </w:p>
        </w:tc>
        <w:tc>
          <w:tcPr>
            <w:tcW w:w="6406" w:type="dxa"/>
            <w:shd w:val="clear" w:color="auto" w:fill="auto"/>
          </w:tcPr>
          <w:p w:rsidR="00F445B1" w:rsidRPr="00276249" w:rsidRDefault="0095422D" w:rsidP="00A81904">
            <w:pPr>
              <w:jc w:val="both"/>
              <w:rPr>
                <w:rStyle w:val="Firstpagetablebold"/>
                <w:rFonts w:cs="Arial"/>
              </w:rPr>
            </w:pPr>
            <w:r w:rsidRPr="00276249">
              <w:rPr>
                <w:rStyle w:val="Firstpagetablebold"/>
                <w:rFonts w:cs="Arial"/>
              </w:rPr>
              <w:t xml:space="preserve">Approval of </w:t>
            </w:r>
            <w:r w:rsidR="000E595D" w:rsidRPr="00276249">
              <w:rPr>
                <w:rStyle w:val="Firstpagetablebold"/>
                <w:rFonts w:cs="Arial"/>
              </w:rPr>
              <w:t xml:space="preserve">new </w:t>
            </w:r>
            <w:r w:rsidR="00B903F1" w:rsidRPr="00276249">
              <w:rPr>
                <w:rStyle w:val="Firstpagetablebold"/>
                <w:rFonts w:cs="Arial"/>
              </w:rPr>
              <w:t>twin c</w:t>
            </w:r>
            <w:r w:rsidRPr="00276249">
              <w:rPr>
                <w:rStyle w:val="Firstpagetablebold"/>
                <w:rFonts w:cs="Arial"/>
              </w:rPr>
              <w:t>ities</w:t>
            </w:r>
            <w:r w:rsidR="000E595D" w:rsidRPr="00276249">
              <w:rPr>
                <w:rStyle w:val="Firstpagetablebold"/>
                <w:rFonts w:cs="Arial"/>
              </w:rPr>
              <w:t xml:space="preserve">, the budget allocation for twinning projects and criteria for selecting </w:t>
            </w:r>
            <w:r w:rsidR="00E4403D" w:rsidRPr="00276249">
              <w:rPr>
                <w:rStyle w:val="Firstpagetablebold"/>
                <w:rFonts w:cs="Arial"/>
              </w:rPr>
              <w:t xml:space="preserve">future </w:t>
            </w:r>
            <w:r w:rsidR="002A6669" w:rsidRPr="00276249">
              <w:rPr>
                <w:rStyle w:val="Firstpagetablebold"/>
                <w:rFonts w:cs="Arial"/>
              </w:rPr>
              <w:t xml:space="preserve"> </w:t>
            </w:r>
            <w:r w:rsidR="00B903F1" w:rsidRPr="00276249">
              <w:rPr>
                <w:rStyle w:val="Firstpagetablebold"/>
                <w:rFonts w:cs="Arial"/>
              </w:rPr>
              <w:t>twin c</w:t>
            </w:r>
            <w:r w:rsidR="000E595D" w:rsidRPr="00276249">
              <w:rPr>
                <w:rStyle w:val="Firstpagetablebold"/>
                <w:rFonts w:cs="Arial"/>
              </w:rPr>
              <w:t>ities</w:t>
            </w:r>
            <w:r w:rsidRPr="00276249">
              <w:rPr>
                <w:rStyle w:val="Firstpagetablebold"/>
                <w:rFonts w:cs="Arial"/>
              </w:rPr>
              <w:t xml:space="preserve"> </w:t>
            </w:r>
          </w:p>
        </w:tc>
      </w:tr>
    </w:tbl>
    <w:p w:rsidR="004F20EF" w:rsidRPr="00276249" w:rsidRDefault="004F20EF" w:rsidP="00A81904">
      <w:pPr>
        <w:jc w:val="both"/>
        <w:rPr>
          <w:rFonts w:cs="Arial"/>
          <w:sz w:val="6"/>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26"/>
        <w:gridCol w:w="2012"/>
        <w:gridCol w:w="6407"/>
      </w:tblGrid>
      <w:tr w:rsidR="00D5547E" w:rsidRPr="00276249" w:rsidTr="00204ECA">
        <w:tc>
          <w:tcPr>
            <w:tcW w:w="8845" w:type="dxa"/>
            <w:gridSpan w:val="3"/>
            <w:tcBorders>
              <w:bottom w:val="single" w:sz="8" w:space="0" w:color="000000"/>
            </w:tcBorders>
            <w:hideMark/>
          </w:tcPr>
          <w:p w:rsidR="00D5547E" w:rsidRPr="00276249" w:rsidRDefault="00745BF0" w:rsidP="00A81904">
            <w:pPr>
              <w:jc w:val="both"/>
              <w:rPr>
                <w:rStyle w:val="Firstpagetablebold"/>
                <w:rFonts w:cs="Arial"/>
              </w:rPr>
            </w:pPr>
            <w:r w:rsidRPr="00276249">
              <w:rPr>
                <w:rStyle w:val="Firstpagetablebold"/>
                <w:rFonts w:cs="Arial"/>
              </w:rPr>
              <w:t>Summary and r</w:t>
            </w:r>
            <w:r w:rsidR="00D5547E" w:rsidRPr="00276249">
              <w:rPr>
                <w:rStyle w:val="Firstpagetablebold"/>
                <w:rFonts w:cs="Arial"/>
              </w:rPr>
              <w:t>ecommendations</w:t>
            </w:r>
          </w:p>
        </w:tc>
      </w:tr>
      <w:tr w:rsidR="00D5547E" w:rsidRPr="00276249" w:rsidTr="00204ECA">
        <w:tc>
          <w:tcPr>
            <w:tcW w:w="2438" w:type="dxa"/>
            <w:gridSpan w:val="2"/>
            <w:tcBorders>
              <w:top w:val="single" w:sz="8" w:space="0" w:color="000000"/>
              <w:left w:val="single" w:sz="8" w:space="0" w:color="000000"/>
              <w:bottom w:val="nil"/>
              <w:right w:val="nil"/>
            </w:tcBorders>
            <w:hideMark/>
          </w:tcPr>
          <w:p w:rsidR="00D5547E" w:rsidRPr="00276249" w:rsidRDefault="00D5547E" w:rsidP="00A81904">
            <w:pPr>
              <w:jc w:val="both"/>
              <w:rPr>
                <w:rStyle w:val="Firstpagetablebold"/>
                <w:rFonts w:cs="Arial"/>
              </w:rPr>
            </w:pPr>
            <w:r w:rsidRPr="00276249">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rsidR="00D5547E" w:rsidRPr="00276249" w:rsidRDefault="006242D7" w:rsidP="00276249">
            <w:pPr>
              <w:jc w:val="both"/>
              <w:rPr>
                <w:rFonts w:cs="Arial"/>
              </w:rPr>
            </w:pPr>
            <w:r w:rsidRPr="00276249">
              <w:rPr>
                <w:rFonts w:cs="Arial"/>
              </w:rPr>
              <w:t xml:space="preserve">To approve the signing of full </w:t>
            </w:r>
            <w:r w:rsidR="008018B1" w:rsidRPr="00276249">
              <w:rPr>
                <w:rFonts w:cs="Arial"/>
              </w:rPr>
              <w:t>T</w:t>
            </w:r>
            <w:r w:rsidR="00410049" w:rsidRPr="00276249">
              <w:rPr>
                <w:rFonts w:cs="Arial"/>
              </w:rPr>
              <w:t xml:space="preserve">win </w:t>
            </w:r>
            <w:r w:rsidR="008018B1" w:rsidRPr="00276249">
              <w:rPr>
                <w:rFonts w:cs="Arial"/>
              </w:rPr>
              <w:t>C</w:t>
            </w:r>
            <w:r w:rsidRPr="00276249">
              <w:rPr>
                <w:rFonts w:cs="Arial"/>
              </w:rPr>
              <w:t xml:space="preserve">ity agreements with Wroclaw, Ramallah and </w:t>
            </w:r>
            <w:proofErr w:type="spellStart"/>
            <w:r w:rsidRPr="00276249">
              <w:rPr>
                <w:rFonts w:cs="Arial"/>
              </w:rPr>
              <w:t>Pad</w:t>
            </w:r>
            <w:r w:rsidR="00276249" w:rsidRPr="00276249">
              <w:rPr>
                <w:rFonts w:cs="Arial"/>
              </w:rPr>
              <w:t>ova</w:t>
            </w:r>
            <w:proofErr w:type="spellEnd"/>
            <w:r w:rsidRPr="00276249">
              <w:rPr>
                <w:rFonts w:cs="Arial"/>
              </w:rPr>
              <w:t xml:space="preserve"> and </w:t>
            </w:r>
            <w:r w:rsidR="00C95296" w:rsidRPr="00276249">
              <w:rPr>
                <w:rFonts w:cs="Arial"/>
              </w:rPr>
              <w:t>agree the criteria for</w:t>
            </w:r>
            <w:r w:rsidR="003F6B2E" w:rsidRPr="00276249">
              <w:rPr>
                <w:rFonts w:cs="Arial"/>
              </w:rPr>
              <w:t xml:space="preserve"> the</w:t>
            </w:r>
            <w:r w:rsidR="00C95296" w:rsidRPr="00276249">
              <w:rPr>
                <w:rFonts w:cs="Arial"/>
              </w:rPr>
              <w:t xml:space="preserve"> </w:t>
            </w:r>
            <w:r w:rsidR="008018B1" w:rsidRPr="00276249">
              <w:rPr>
                <w:rFonts w:cs="Arial"/>
              </w:rPr>
              <w:t>formation of additional international links</w:t>
            </w:r>
            <w:r w:rsidR="00817FE5" w:rsidRPr="00276249">
              <w:rPr>
                <w:rFonts w:cs="Arial"/>
              </w:rPr>
              <w:t>.</w:t>
            </w:r>
            <w:r w:rsidR="008018B1" w:rsidRPr="00276249">
              <w:rPr>
                <w:rFonts w:cs="Arial"/>
              </w:rPr>
              <w:t xml:space="preserve"> </w:t>
            </w:r>
          </w:p>
        </w:tc>
      </w:tr>
      <w:tr w:rsidR="00D5547E" w:rsidRPr="00276249" w:rsidTr="00204ECA">
        <w:tc>
          <w:tcPr>
            <w:tcW w:w="2438" w:type="dxa"/>
            <w:gridSpan w:val="2"/>
            <w:tcBorders>
              <w:top w:val="nil"/>
              <w:left w:val="single" w:sz="8" w:space="0" w:color="000000"/>
              <w:bottom w:val="nil"/>
              <w:right w:val="nil"/>
            </w:tcBorders>
            <w:hideMark/>
          </w:tcPr>
          <w:p w:rsidR="00D5547E" w:rsidRPr="00276249" w:rsidRDefault="00D5547E" w:rsidP="00A81904">
            <w:pPr>
              <w:jc w:val="both"/>
              <w:rPr>
                <w:rStyle w:val="Firstpagetablebold"/>
                <w:rFonts w:cs="Arial"/>
              </w:rPr>
            </w:pPr>
            <w:r w:rsidRPr="00276249">
              <w:rPr>
                <w:rStyle w:val="Firstpagetablebold"/>
                <w:rFonts w:cs="Arial"/>
              </w:rPr>
              <w:t>Key decision:</w:t>
            </w:r>
          </w:p>
        </w:tc>
        <w:tc>
          <w:tcPr>
            <w:tcW w:w="6407" w:type="dxa"/>
            <w:tcBorders>
              <w:top w:val="nil"/>
              <w:left w:val="nil"/>
              <w:bottom w:val="nil"/>
              <w:right w:val="single" w:sz="8" w:space="0" w:color="000000"/>
            </w:tcBorders>
            <w:hideMark/>
          </w:tcPr>
          <w:p w:rsidR="00D5547E" w:rsidRPr="00276249" w:rsidRDefault="00185D92" w:rsidP="00A81904">
            <w:pPr>
              <w:jc w:val="both"/>
              <w:rPr>
                <w:rFonts w:cs="Arial"/>
              </w:rPr>
            </w:pPr>
            <w:r w:rsidRPr="00276249">
              <w:rPr>
                <w:rFonts w:cs="Arial"/>
              </w:rPr>
              <w:t>No</w:t>
            </w:r>
          </w:p>
        </w:tc>
      </w:tr>
      <w:tr w:rsidR="00D5547E" w:rsidRPr="00276249" w:rsidTr="00204ECA">
        <w:tc>
          <w:tcPr>
            <w:tcW w:w="2438" w:type="dxa"/>
            <w:gridSpan w:val="2"/>
            <w:tcBorders>
              <w:top w:val="nil"/>
              <w:left w:val="single" w:sz="8" w:space="0" w:color="000000"/>
              <w:bottom w:val="nil"/>
              <w:right w:val="nil"/>
            </w:tcBorders>
            <w:hideMark/>
          </w:tcPr>
          <w:p w:rsidR="00D5547E" w:rsidRPr="00276249" w:rsidRDefault="00D5547E" w:rsidP="00A81904">
            <w:pPr>
              <w:jc w:val="both"/>
              <w:rPr>
                <w:rStyle w:val="Firstpagetablebold"/>
                <w:rFonts w:cs="Arial"/>
              </w:rPr>
            </w:pPr>
            <w:r w:rsidRPr="00276249">
              <w:rPr>
                <w:rStyle w:val="Firstpagetablebold"/>
                <w:rFonts w:cs="Arial"/>
              </w:rPr>
              <w:t>Executive Board Member:</w:t>
            </w:r>
          </w:p>
        </w:tc>
        <w:tc>
          <w:tcPr>
            <w:tcW w:w="6407" w:type="dxa"/>
            <w:tcBorders>
              <w:top w:val="nil"/>
              <w:left w:val="nil"/>
              <w:bottom w:val="nil"/>
              <w:right w:val="single" w:sz="8" w:space="0" w:color="000000"/>
            </w:tcBorders>
            <w:hideMark/>
          </w:tcPr>
          <w:p w:rsidR="00D5547E" w:rsidRPr="00276249" w:rsidRDefault="00D5547E" w:rsidP="00A81904">
            <w:pPr>
              <w:jc w:val="both"/>
              <w:rPr>
                <w:rFonts w:cs="Arial"/>
              </w:rPr>
            </w:pPr>
            <w:r w:rsidRPr="00276249">
              <w:rPr>
                <w:rFonts w:cs="Arial"/>
              </w:rPr>
              <w:t xml:space="preserve">Councillor </w:t>
            </w:r>
            <w:r w:rsidR="00185D92" w:rsidRPr="00276249">
              <w:rPr>
                <w:rFonts w:cs="Arial"/>
              </w:rPr>
              <w:t>Mary Clarkson</w:t>
            </w:r>
            <w:r w:rsidRPr="00276249">
              <w:rPr>
                <w:rFonts w:cs="Arial"/>
              </w:rPr>
              <w:t xml:space="preserve">, </w:t>
            </w:r>
            <w:r w:rsidR="00185D92" w:rsidRPr="00276249">
              <w:rPr>
                <w:rFonts w:cs="Arial"/>
              </w:rPr>
              <w:t xml:space="preserve">Culture and City Centre </w:t>
            </w:r>
            <w:r w:rsidRPr="00276249">
              <w:rPr>
                <w:rFonts w:cs="Arial"/>
              </w:rPr>
              <w:t xml:space="preserve">Portfolio </w:t>
            </w:r>
          </w:p>
        </w:tc>
      </w:tr>
      <w:tr w:rsidR="0080749A" w:rsidRPr="00276249" w:rsidTr="00204ECA">
        <w:tc>
          <w:tcPr>
            <w:tcW w:w="2438" w:type="dxa"/>
            <w:gridSpan w:val="2"/>
            <w:tcBorders>
              <w:top w:val="nil"/>
              <w:left w:val="single" w:sz="8" w:space="0" w:color="000000"/>
              <w:bottom w:val="nil"/>
              <w:right w:val="nil"/>
            </w:tcBorders>
          </w:tcPr>
          <w:p w:rsidR="0080749A" w:rsidRPr="00276249" w:rsidRDefault="0080749A" w:rsidP="00A81904">
            <w:pPr>
              <w:jc w:val="both"/>
              <w:rPr>
                <w:rStyle w:val="Firstpagetablebold"/>
                <w:rFonts w:cs="Arial"/>
              </w:rPr>
            </w:pPr>
            <w:r w:rsidRPr="00276249">
              <w:rPr>
                <w:rStyle w:val="Firstpagetablebold"/>
                <w:rFonts w:cs="Arial"/>
              </w:rPr>
              <w:t>Corporate Priority:</w:t>
            </w:r>
          </w:p>
        </w:tc>
        <w:tc>
          <w:tcPr>
            <w:tcW w:w="6407" w:type="dxa"/>
            <w:tcBorders>
              <w:top w:val="nil"/>
              <w:left w:val="nil"/>
              <w:bottom w:val="nil"/>
              <w:right w:val="single" w:sz="8" w:space="0" w:color="000000"/>
            </w:tcBorders>
          </w:tcPr>
          <w:p w:rsidR="0080749A" w:rsidRPr="00276249" w:rsidRDefault="00415151" w:rsidP="00A81904">
            <w:pPr>
              <w:jc w:val="both"/>
              <w:rPr>
                <w:rFonts w:cs="Arial"/>
              </w:rPr>
            </w:pPr>
            <w:r w:rsidRPr="00276249">
              <w:rPr>
                <w:rFonts w:cs="Arial"/>
              </w:rPr>
              <w:t>Strong and Active Communities</w:t>
            </w:r>
          </w:p>
        </w:tc>
      </w:tr>
      <w:tr w:rsidR="00D5547E" w:rsidRPr="00276249" w:rsidTr="00204ECA">
        <w:tc>
          <w:tcPr>
            <w:tcW w:w="2438" w:type="dxa"/>
            <w:gridSpan w:val="2"/>
            <w:tcBorders>
              <w:top w:val="nil"/>
              <w:left w:val="single" w:sz="8" w:space="0" w:color="000000"/>
              <w:bottom w:val="nil"/>
              <w:right w:val="nil"/>
            </w:tcBorders>
            <w:hideMark/>
          </w:tcPr>
          <w:p w:rsidR="00D5547E" w:rsidRPr="00276249" w:rsidRDefault="00D5547E" w:rsidP="00A81904">
            <w:pPr>
              <w:jc w:val="both"/>
              <w:rPr>
                <w:rStyle w:val="Firstpagetablebold"/>
                <w:rFonts w:cs="Arial"/>
              </w:rPr>
            </w:pPr>
            <w:r w:rsidRPr="00276249">
              <w:rPr>
                <w:rStyle w:val="Firstpagetablebold"/>
                <w:rFonts w:cs="Arial"/>
              </w:rPr>
              <w:t>Policy Framework:</w:t>
            </w:r>
          </w:p>
        </w:tc>
        <w:tc>
          <w:tcPr>
            <w:tcW w:w="6407" w:type="dxa"/>
            <w:tcBorders>
              <w:top w:val="nil"/>
              <w:left w:val="nil"/>
              <w:bottom w:val="nil"/>
              <w:right w:val="single" w:sz="8" w:space="0" w:color="000000"/>
            </w:tcBorders>
            <w:hideMark/>
          </w:tcPr>
          <w:p w:rsidR="00D5547E" w:rsidRPr="00276249" w:rsidRDefault="00415151" w:rsidP="00A81904">
            <w:pPr>
              <w:jc w:val="both"/>
              <w:rPr>
                <w:rFonts w:cs="Arial"/>
              </w:rPr>
            </w:pPr>
            <w:r w:rsidRPr="00276249">
              <w:rPr>
                <w:rFonts w:cs="Arial"/>
              </w:rPr>
              <w:t>Culture</w:t>
            </w:r>
            <w:r w:rsidR="00C95296" w:rsidRPr="00276249">
              <w:rPr>
                <w:rFonts w:cs="Arial"/>
              </w:rPr>
              <w:t xml:space="preserve"> Strategy </w:t>
            </w:r>
            <w:r w:rsidRPr="00276249">
              <w:rPr>
                <w:rFonts w:cs="Arial"/>
              </w:rPr>
              <w:t xml:space="preserve"> </w:t>
            </w:r>
            <w:r w:rsidR="00990F40" w:rsidRPr="00276249">
              <w:rPr>
                <w:rFonts w:cs="Arial"/>
              </w:rPr>
              <w:t xml:space="preserve">  </w:t>
            </w:r>
          </w:p>
        </w:tc>
      </w:tr>
      <w:tr w:rsidR="005F7F7E" w:rsidRPr="00276249" w:rsidTr="00204ECA">
        <w:trPr>
          <w:trHeight w:val="413"/>
        </w:trPr>
        <w:tc>
          <w:tcPr>
            <w:tcW w:w="8845" w:type="dxa"/>
            <w:gridSpan w:val="3"/>
            <w:tcBorders>
              <w:bottom w:val="single" w:sz="8" w:space="0" w:color="000000"/>
            </w:tcBorders>
          </w:tcPr>
          <w:p w:rsidR="005F7F7E" w:rsidRPr="00276249" w:rsidRDefault="005F7F7E" w:rsidP="00A81904">
            <w:pPr>
              <w:jc w:val="both"/>
              <w:rPr>
                <w:rFonts w:cs="Arial"/>
              </w:rPr>
            </w:pPr>
            <w:r w:rsidRPr="00276249">
              <w:rPr>
                <w:rStyle w:val="Firstpagetablebold"/>
                <w:rFonts w:cs="Arial"/>
              </w:rPr>
              <w:t>Recommendation(s):That the City Executive Board resolves to:</w:t>
            </w:r>
          </w:p>
        </w:tc>
      </w:tr>
      <w:tr w:rsidR="0030208D" w:rsidRPr="00276249" w:rsidTr="00204ECA">
        <w:trPr>
          <w:trHeight w:val="283"/>
        </w:trPr>
        <w:tc>
          <w:tcPr>
            <w:tcW w:w="426" w:type="dxa"/>
            <w:tcBorders>
              <w:top w:val="single" w:sz="8" w:space="0" w:color="000000"/>
              <w:left w:val="single" w:sz="8" w:space="0" w:color="000000"/>
              <w:bottom w:val="nil"/>
              <w:right w:val="nil"/>
            </w:tcBorders>
          </w:tcPr>
          <w:p w:rsidR="0030208D" w:rsidRPr="00276249" w:rsidRDefault="00046D2B" w:rsidP="00A81904">
            <w:pPr>
              <w:jc w:val="both"/>
              <w:rPr>
                <w:rFonts w:cs="Arial"/>
              </w:rPr>
            </w:pPr>
            <w:r w:rsidRPr="00276249">
              <w:rPr>
                <w:rFonts w:cs="Arial"/>
              </w:rPr>
              <w:t>1.</w:t>
            </w:r>
          </w:p>
        </w:tc>
        <w:tc>
          <w:tcPr>
            <w:tcW w:w="8419" w:type="dxa"/>
            <w:gridSpan w:val="2"/>
            <w:tcBorders>
              <w:top w:val="single" w:sz="8" w:space="0" w:color="000000"/>
              <w:left w:val="nil"/>
              <w:bottom w:val="nil"/>
              <w:right w:val="single" w:sz="8" w:space="0" w:color="000000"/>
            </w:tcBorders>
            <w:shd w:val="clear" w:color="auto" w:fill="auto"/>
          </w:tcPr>
          <w:p w:rsidR="0030208D" w:rsidRPr="00276249" w:rsidRDefault="00BD3F72" w:rsidP="00360211">
            <w:pPr>
              <w:pStyle w:val="ListParagraph"/>
              <w:numPr>
                <w:ilvl w:val="0"/>
                <w:numId w:val="0"/>
              </w:numPr>
              <w:tabs>
                <w:tab w:val="clear" w:pos="426"/>
              </w:tabs>
              <w:jc w:val="both"/>
              <w:rPr>
                <w:rFonts w:cs="Arial"/>
              </w:rPr>
            </w:pPr>
            <w:r w:rsidRPr="00276249">
              <w:rPr>
                <w:rFonts w:cs="Arial"/>
                <w:b/>
              </w:rPr>
              <w:t xml:space="preserve">Approve </w:t>
            </w:r>
            <w:r w:rsidR="0048096C" w:rsidRPr="00276249">
              <w:rPr>
                <w:rFonts w:cs="Arial"/>
              </w:rPr>
              <w:t xml:space="preserve">the Oxford-Wroclaw </w:t>
            </w:r>
            <w:r w:rsidR="00696A3C" w:rsidRPr="00276249">
              <w:rPr>
                <w:rFonts w:cs="Arial"/>
              </w:rPr>
              <w:t>T</w:t>
            </w:r>
            <w:r w:rsidR="0048096C" w:rsidRPr="00276249">
              <w:rPr>
                <w:rFonts w:cs="Arial"/>
              </w:rPr>
              <w:t xml:space="preserve">win </w:t>
            </w:r>
            <w:r w:rsidR="00696A3C" w:rsidRPr="00276249">
              <w:rPr>
                <w:rFonts w:cs="Arial"/>
              </w:rPr>
              <w:t>C</w:t>
            </w:r>
            <w:r w:rsidR="0048096C" w:rsidRPr="00276249">
              <w:rPr>
                <w:rFonts w:cs="Arial"/>
              </w:rPr>
              <w:t>ity agreement</w:t>
            </w:r>
            <w:r w:rsidR="00204ECA" w:rsidRPr="00276249">
              <w:rPr>
                <w:rFonts w:cs="Arial"/>
              </w:rPr>
              <w:t xml:space="preserve"> signed in Wroclaw i</w:t>
            </w:r>
            <w:r w:rsidR="003C3BE6" w:rsidRPr="00276249">
              <w:rPr>
                <w:rFonts w:cs="Arial"/>
              </w:rPr>
              <w:t xml:space="preserve">n </w:t>
            </w:r>
            <w:r w:rsidR="00204ECA" w:rsidRPr="00276249">
              <w:rPr>
                <w:rFonts w:cs="Arial"/>
              </w:rPr>
              <w:t>October 2018</w:t>
            </w:r>
            <w:r w:rsidR="00360211">
              <w:rPr>
                <w:rFonts w:cs="Arial"/>
              </w:rPr>
              <w:t>;</w:t>
            </w:r>
          </w:p>
        </w:tc>
      </w:tr>
      <w:tr w:rsidR="0030208D" w:rsidRPr="00276249" w:rsidTr="00204ECA">
        <w:trPr>
          <w:trHeight w:val="283"/>
        </w:trPr>
        <w:tc>
          <w:tcPr>
            <w:tcW w:w="426" w:type="dxa"/>
            <w:tcBorders>
              <w:top w:val="nil"/>
              <w:left w:val="single" w:sz="8" w:space="0" w:color="000000"/>
              <w:bottom w:val="nil"/>
              <w:right w:val="nil"/>
            </w:tcBorders>
          </w:tcPr>
          <w:p w:rsidR="0030208D" w:rsidRPr="00276249" w:rsidRDefault="00046D2B" w:rsidP="00A81904">
            <w:pPr>
              <w:jc w:val="both"/>
              <w:rPr>
                <w:rFonts w:cs="Arial"/>
              </w:rPr>
            </w:pPr>
            <w:r w:rsidRPr="00276249">
              <w:rPr>
                <w:rFonts w:cs="Arial"/>
              </w:rPr>
              <w:t>2.</w:t>
            </w:r>
          </w:p>
        </w:tc>
        <w:tc>
          <w:tcPr>
            <w:tcW w:w="8419" w:type="dxa"/>
            <w:gridSpan w:val="2"/>
            <w:tcBorders>
              <w:top w:val="nil"/>
              <w:left w:val="nil"/>
              <w:bottom w:val="nil"/>
              <w:right w:val="single" w:sz="8" w:space="0" w:color="000000"/>
            </w:tcBorders>
            <w:shd w:val="clear" w:color="auto" w:fill="auto"/>
          </w:tcPr>
          <w:p w:rsidR="0030208D" w:rsidRPr="00276249" w:rsidRDefault="006B4BD4" w:rsidP="00360211">
            <w:pPr>
              <w:jc w:val="both"/>
              <w:rPr>
                <w:rFonts w:cs="Arial"/>
              </w:rPr>
            </w:pPr>
            <w:r w:rsidRPr="00276249">
              <w:rPr>
                <w:rFonts w:cs="Arial"/>
                <w:b/>
              </w:rPr>
              <w:t>Endorse</w:t>
            </w:r>
            <w:r w:rsidRPr="00276249">
              <w:rPr>
                <w:rFonts w:cs="Arial"/>
              </w:rPr>
              <w:t xml:space="preserve"> the Oxford Polish Association as the </w:t>
            </w:r>
            <w:r w:rsidR="001648EF" w:rsidRPr="00276249">
              <w:rPr>
                <w:rFonts w:cs="Arial"/>
              </w:rPr>
              <w:t xml:space="preserve">formal volunteer </w:t>
            </w:r>
            <w:r w:rsidR="006E4E10" w:rsidRPr="00276249">
              <w:rPr>
                <w:rFonts w:cs="Arial"/>
              </w:rPr>
              <w:t xml:space="preserve">community </w:t>
            </w:r>
            <w:r w:rsidR="001648EF" w:rsidRPr="00276249">
              <w:rPr>
                <w:rFonts w:cs="Arial"/>
              </w:rPr>
              <w:t>Link for the Wroclaw twinning relationship</w:t>
            </w:r>
            <w:r w:rsidR="00360211">
              <w:rPr>
                <w:rFonts w:cs="Arial"/>
              </w:rPr>
              <w:t>;</w:t>
            </w:r>
          </w:p>
        </w:tc>
      </w:tr>
      <w:tr w:rsidR="00232F5B" w:rsidRPr="00276249" w:rsidTr="00204ECA">
        <w:trPr>
          <w:trHeight w:val="283"/>
        </w:trPr>
        <w:tc>
          <w:tcPr>
            <w:tcW w:w="426" w:type="dxa"/>
            <w:tcBorders>
              <w:top w:val="nil"/>
              <w:left w:val="single" w:sz="8" w:space="0" w:color="000000"/>
              <w:bottom w:val="nil"/>
              <w:right w:val="nil"/>
            </w:tcBorders>
          </w:tcPr>
          <w:p w:rsidR="0030208D" w:rsidRPr="00276249" w:rsidRDefault="00046D2B" w:rsidP="00A81904">
            <w:pPr>
              <w:jc w:val="both"/>
              <w:rPr>
                <w:rFonts w:cs="Arial"/>
              </w:rPr>
            </w:pPr>
            <w:r w:rsidRPr="00276249">
              <w:rPr>
                <w:rFonts w:cs="Arial"/>
              </w:rPr>
              <w:t>3.</w:t>
            </w:r>
          </w:p>
        </w:tc>
        <w:tc>
          <w:tcPr>
            <w:tcW w:w="8419" w:type="dxa"/>
            <w:gridSpan w:val="2"/>
            <w:tcBorders>
              <w:top w:val="nil"/>
              <w:left w:val="nil"/>
              <w:bottom w:val="nil"/>
              <w:right w:val="single" w:sz="8" w:space="0" w:color="000000"/>
            </w:tcBorders>
            <w:shd w:val="clear" w:color="auto" w:fill="auto"/>
          </w:tcPr>
          <w:p w:rsidR="0030208D" w:rsidRPr="00276249" w:rsidRDefault="006B4BD4" w:rsidP="00276249">
            <w:pPr>
              <w:jc w:val="both"/>
              <w:rPr>
                <w:rFonts w:cs="Arial"/>
                <w:b/>
              </w:rPr>
            </w:pPr>
            <w:r w:rsidRPr="00276249">
              <w:rPr>
                <w:rFonts w:cs="Arial"/>
                <w:b/>
              </w:rPr>
              <w:t xml:space="preserve">Approve </w:t>
            </w:r>
            <w:r w:rsidRPr="00276249">
              <w:rPr>
                <w:rFonts w:cs="Arial"/>
              </w:rPr>
              <w:t xml:space="preserve">the signing of full </w:t>
            </w:r>
            <w:r w:rsidR="00696A3C" w:rsidRPr="00276249">
              <w:rPr>
                <w:rFonts w:cs="Arial"/>
              </w:rPr>
              <w:t>T</w:t>
            </w:r>
            <w:r w:rsidRPr="00276249">
              <w:rPr>
                <w:rFonts w:cs="Arial"/>
              </w:rPr>
              <w:t xml:space="preserve">win </w:t>
            </w:r>
            <w:r w:rsidR="00696A3C" w:rsidRPr="00276249">
              <w:rPr>
                <w:rFonts w:cs="Arial"/>
              </w:rPr>
              <w:t>C</w:t>
            </w:r>
            <w:r w:rsidRPr="00276249">
              <w:rPr>
                <w:rFonts w:cs="Arial"/>
              </w:rPr>
              <w:t xml:space="preserve">ity agreements </w:t>
            </w:r>
            <w:r w:rsidR="00B903F1" w:rsidRPr="00276249">
              <w:rPr>
                <w:rFonts w:cs="Arial"/>
              </w:rPr>
              <w:t xml:space="preserve">with </w:t>
            </w:r>
            <w:r w:rsidRPr="00276249">
              <w:rPr>
                <w:rFonts w:cs="Arial"/>
              </w:rPr>
              <w:t xml:space="preserve">Ramallah and </w:t>
            </w:r>
            <w:proofErr w:type="spellStart"/>
            <w:r w:rsidR="00267BCA" w:rsidRPr="00276249">
              <w:rPr>
                <w:rFonts w:cs="Arial"/>
              </w:rPr>
              <w:t>Pad</w:t>
            </w:r>
            <w:r w:rsidR="00276249" w:rsidRPr="00276249">
              <w:rPr>
                <w:rFonts w:cs="Arial"/>
              </w:rPr>
              <w:t>ova</w:t>
            </w:r>
            <w:proofErr w:type="spellEnd"/>
            <w:r w:rsidR="00360211">
              <w:rPr>
                <w:rFonts w:cs="Arial"/>
              </w:rPr>
              <w:t>;</w:t>
            </w:r>
          </w:p>
        </w:tc>
      </w:tr>
      <w:tr w:rsidR="00232F5B" w:rsidRPr="00276249" w:rsidTr="004E3EE9">
        <w:trPr>
          <w:trHeight w:val="283"/>
        </w:trPr>
        <w:tc>
          <w:tcPr>
            <w:tcW w:w="426" w:type="dxa"/>
            <w:tcBorders>
              <w:top w:val="nil"/>
              <w:left w:val="single" w:sz="8" w:space="0" w:color="000000"/>
              <w:bottom w:val="nil"/>
              <w:right w:val="nil"/>
            </w:tcBorders>
          </w:tcPr>
          <w:p w:rsidR="0030208D" w:rsidRPr="00276249" w:rsidRDefault="00046D2B" w:rsidP="00A81904">
            <w:pPr>
              <w:jc w:val="both"/>
              <w:rPr>
                <w:rFonts w:cs="Arial"/>
              </w:rPr>
            </w:pPr>
            <w:r w:rsidRPr="00276249">
              <w:rPr>
                <w:rFonts w:cs="Arial"/>
              </w:rPr>
              <w:t>4.</w:t>
            </w:r>
          </w:p>
        </w:tc>
        <w:tc>
          <w:tcPr>
            <w:tcW w:w="8419" w:type="dxa"/>
            <w:gridSpan w:val="2"/>
            <w:tcBorders>
              <w:top w:val="nil"/>
              <w:left w:val="nil"/>
              <w:bottom w:val="nil"/>
              <w:right w:val="single" w:sz="8" w:space="0" w:color="000000"/>
            </w:tcBorders>
            <w:shd w:val="clear" w:color="auto" w:fill="auto"/>
          </w:tcPr>
          <w:p w:rsidR="00E95132" w:rsidRPr="00276249" w:rsidRDefault="006B4BD4" w:rsidP="00204ECA">
            <w:pPr>
              <w:jc w:val="both"/>
              <w:rPr>
                <w:rFonts w:cs="Arial"/>
              </w:rPr>
            </w:pPr>
            <w:r w:rsidRPr="00276249">
              <w:rPr>
                <w:rFonts w:cs="Arial"/>
                <w:b/>
              </w:rPr>
              <w:t>Delegate</w:t>
            </w:r>
            <w:r w:rsidRPr="00276249">
              <w:rPr>
                <w:rFonts w:cs="Arial"/>
              </w:rPr>
              <w:t xml:space="preserve"> authority to approve the final wording of the full </w:t>
            </w:r>
            <w:r w:rsidR="00696A3C" w:rsidRPr="00276249">
              <w:rPr>
                <w:rFonts w:cs="Arial"/>
              </w:rPr>
              <w:t>T</w:t>
            </w:r>
            <w:r w:rsidRPr="00276249">
              <w:rPr>
                <w:rFonts w:cs="Arial"/>
              </w:rPr>
              <w:t xml:space="preserve">win </w:t>
            </w:r>
            <w:r w:rsidR="00696A3C" w:rsidRPr="00276249">
              <w:rPr>
                <w:rFonts w:cs="Arial"/>
              </w:rPr>
              <w:t>c</w:t>
            </w:r>
            <w:r w:rsidRPr="00276249">
              <w:rPr>
                <w:rFonts w:cs="Arial"/>
              </w:rPr>
              <w:t xml:space="preserve">ity agreements </w:t>
            </w:r>
            <w:r w:rsidR="00C95296" w:rsidRPr="00276249">
              <w:rPr>
                <w:rFonts w:cs="Arial"/>
              </w:rPr>
              <w:t>to</w:t>
            </w:r>
            <w:r w:rsidRPr="00276249">
              <w:rPr>
                <w:rFonts w:cs="Arial"/>
              </w:rPr>
              <w:t xml:space="preserve"> </w:t>
            </w:r>
            <w:r w:rsidR="00C95296" w:rsidRPr="00276249">
              <w:rPr>
                <w:rFonts w:cs="Arial"/>
              </w:rPr>
              <w:t>the Head of Community services in consultation with the  p</w:t>
            </w:r>
            <w:r w:rsidRPr="00276249">
              <w:rPr>
                <w:rFonts w:cs="Arial"/>
              </w:rPr>
              <w:t xml:space="preserve">ortfolio holder </w:t>
            </w:r>
            <w:r w:rsidR="00204ECA" w:rsidRPr="00276249">
              <w:rPr>
                <w:rFonts w:cs="Arial"/>
              </w:rPr>
              <w:t xml:space="preserve">for Culture and City Centre </w:t>
            </w:r>
            <w:r w:rsidRPr="00276249">
              <w:rPr>
                <w:rFonts w:cs="Arial"/>
              </w:rPr>
              <w:t xml:space="preserve">and </w:t>
            </w:r>
            <w:r w:rsidR="00C95296" w:rsidRPr="00276249">
              <w:rPr>
                <w:rFonts w:cs="Arial"/>
              </w:rPr>
              <w:t>the Head of Law and Governance</w:t>
            </w:r>
            <w:r w:rsidR="00360211">
              <w:rPr>
                <w:rFonts w:cs="Arial"/>
              </w:rPr>
              <w:t>;</w:t>
            </w:r>
            <w:bookmarkStart w:id="0" w:name="_GoBack"/>
            <w:bookmarkEnd w:id="0"/>
          </w:p>
        </w:tc>
      </w:tr>
      <w:tr w:rsidR="00232F5B" w:rsidRPr="00276249" w:rsidTr="004E3EE9">
        <w:trPr>
          <w:trHeight w:val="982"/>
        </w:trPr>
        <w:tc>
          <w:tcPr>
            <w:tcW w:w="426" w:type="dxa"/>
            <w:tcBorders>
              <w:top w:val="nil"/>
              <w:left w:val="single" w:sz="8" w:space="0" w:color="000000"/>
              <w:bottom w:val="single" w:sz="4" w:space="0" w:color="auto"/>
              <w:right w:val="nil"/>
            </w:tcBorders>
          </w:tcPr>
          <w:p w:rsidR="0030208D" w:rsidRPr="00276249" w:rsidRDefault="00046D2B" w:rsidP="00A81904">
            <w:pPr>
              <w:jc w:val="both"/>
              <w:rPr>
                <w:rFonts w:cs="Arial"/>
              </w:rPr>
            </w:pPr>
            <w:r w:rsidRPr="00276249">
              <w:rPr>
                <w:rFonts w:cs="Arial"/>
              </w:rPr>
              <w:t>5.</w:t>
            </w:r>
          </w:p>
          <w:p w:rsidR="00204ECA" w:rsidRPr="00276249" w:rsidRDefault="00204ECA" w:rsidP="00A81904">
            <w:pPr>
              <w:jc w:val="both"/>
              <w:rPr>
                <w:rFonts w:cs="Arial"/>
              </w:rPr>
            </w:pPr>
          </w:p>
          <w:p w:rsidR="006B4BD4" w:rsidRPr="00276249" w:rsidRDefault="006B4BD4" w:rsidP="00A81904">
            <w:pPr>
              <w:jc w:val="both"/>
              <w:rPr>
                <w:rFonts w:cs="Arial"/>
              </w:rPr>
            </w:pPr>
            <w:r w:rsidRPr="00276249">
              <w:rPr>
                <w:rFonts w:cs="Arial"/>
              </w:rPr>
              <w:t>6.</w:t>
            </w:r>
          </w:p>
        </w:tc>
        <w:tc>
          <w:tcPr>
            <w:tcW w:w="8419" w:type="dxa"/>
            <w:gridSpan w:val="2"/>
            <w:tcBorders>
              <w:top w:val="nil"/>
              <w:left w:val="nil"/>
              <w:bottom w:val="single" w:sz="4" w:space="0" w:color="auto"/>
              <w:right w:val="single" w:sz="8" w:space="0" w:color="000000"/>
            </w:tcBorders>
            <w:shd w:val="clear" w:color="auto" w:fill="auto"/>
          </w:tcPr>
          <w:p w:rsidR="00204ECA" w:rsidRPr="00276249" w:rsidRDefault="006B4BD4" w:rsidP="00696A3C">
            <w:pPr>
              <w:jc w:val="both"/>
              <w:rPr>
                <w:rFonts w:cs="Arial"/>
              </w:rPr>
            </w:pPr>
            <w:r w:rsidRPr="00276249">
              <w:rPr>
                <w:rFonts w:cs="Arial"/>
                <w:b/>
              </w:rPr>
              <w:t>Approve</w:t>
            </w:r>
            <w:r w:rsidRPr="00276249">
              <w:rPr>
                <w:rFonts w:cs="Arial"/>
              </w:rPr>
              <w:t xml:space="preserve"> </w:t>
            </w:r>
            <w:r w:rsidR="00204ECA" w:rsidRPr="00276249">
              <w:rPr>
                <w:rFonts w:cs="Arial"/>
              </w:rPr>
              <w:t xml:space="preserve">how we use the £23,000 </w:t>
            </w:r>
            <w:r w:rsidR="00663AD1" w:rsidRPr="00276249">
              <w:rPr>
                <w:rFonts w:cs="Arial"/>
              </w:rPr>
              <w:t xml:space="preserve">budget </w:t>
            </w:r>
            <w:r w:rsidRPr="00276249">
              <w:rPr>
                <w:rFonts w:cs="Arial"/>
              </w:rPr>
              <w:t xml:space="preserve">allocation for twinning projects; and </w:t>
            </w:r>
          </w:p>
          <w:p w:rsidR="006B4BD4" w:rsidRPr="00276249" w:rsidRDefault="003A446F" w:rsidP="00696A3C">
            <w:pPr>
              <w:jc w:val="both"/>
              <w:rPr>
                <w:rFonts w:cs="Arial"/>
              </w:rPr>
            </w:pPr>
            <w:r w:rsidRPr="00276249">
              <w:rPr>
                <w:rFonts w:cs="Arial"/>
                <w:b/>
              </w:rPr>
              <w:t>Approve</w:t>
            </w:r>
            <w:r w:rsidRPr="00276249">
              <w:rPr>
                <w:rFonts w:cs="Arial"/>
              </w:rPr>
              <w:t xml:space="preserve"> </w:t>
            </w:r>
            <w:r w:rsidR="006B4BD4" w:rsidRPr="00276249">
              <w:rPr>
                <w:rFonts w:cs="Arial"/>
              </w:rPr>
              <w:t xml:space="preserve">the criteria and process for selecting future </w:t>
            </w:r>
            <w:r w:rsidR="00696A3C" w:rsidRPr="00276249">
              <w:rPr>
                <w:rFonts w:cs="Arial"/>
              </w:rPr>
              <w:t>international links</w:t>
            </w:r>
            <w:r w:rsidR="00D3295A" w:rsidRPr="00276249">
              <w:rPr>
                <w:rFonts w:cs="Arial"/>
              </w:rPr>
              <w:t xml:space="preserve"> as set out in paragraph 26 of this report</w:t>
            </w:r>
            <w:r w:rsidR="00B903F1" w:rsidRPr="00276249">
              <w:rPr>
                <w:rFonts w:cs="Arial"/>
              </w:rPr>
              <w:t>.</w:t>
            </w:r>
          </w:p>
        </w:tc>
      </w:tr>
    </w:tbl>
    <w:p w:rsidR="00CE544A" w:rsidRPr="00276249" w:rsidRDefault="00CE544A" w:rsidP="00A81904">
      <w:pPr>
        <w:jc w:val="both"/>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966D42" w:rsidRPr="00276249" w:rsidTr="00A46E98">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966D42" w:rsidRPr="00276249" w:rsidRDefault="00703B1E" w:rsidP="00A81904">
            <w:pPr>
              <w:tabs>
                <w:tab w:val="center" w:pos="4314"/>
                <w:tab w:val="left" w:pos="5440"/>
              </w:tabs>
              <w:jc w:val="both"/>
              <w:rPr>
                <w:rStyle w:val="Firstpagetablebold"/>
                <w:rFonts w:cs="Arial"/>
              </w:rPr>
            </w:pPr>
            <w:r w:rsidRPr="00276249">
              <w:rPr>
                <w:rStyle w:val="Firstpagetablebold"/>
                <w:rFonts w:cs="Arial"/>
              </w:rPr>
              <w:tab/>
            </w:r>
            <w:r w:rsidR="00966D42" w:rsidRPr="00276249">
              <w:rPr>
                <w:rStyle w:val="Firstpagetablebold"/>
                <w:rFonts w:cs="Arial"/>
              </w:rPr>
              <w:t>Appendices</w:t>
            </w:r>
          </w:p>
          <w:p w:rsidR="00E1017A" w:rsidRPr="00276249" w:rsidRDefault="00E1017A" w:rsidP="00E16527">
            <w:pPr>
              <w:tabs>
                <w:tab w:val="center" w:pos="4314"/>
                <w:tab w:val="left" w:pos="5440"/>
              </w:tabs>
              <w:ind w:left="459" w:hanging="459"/>
              <w:jc w:val="both"/>
              <w:rPr>
                <w:rStyle w:val="Firstpagetablebold"/>
                <w:rFonts w:cs="Arial"/>
                <w:b w:val="0"/>
              </w:rPr>
            </w:pPr>
            <w:r w:rsidRPr="00276249">
              <w:rPr>
                <w:rStyle w:val="Firstpagetablebold"/>
                <w:rFonts w:cs="Arial"/>
                <w:b w:val="0"/>
              </w:rPr>
              <w:t>1.   Risk Register</w:t>
            </w:r>
          </w:p>
          <w:p w:rsidR="00E1017A" w:rsidRPr="00276249" w:rsidRDefault="00E1017A" w:rsidP="00E16527">
            <w:pPr>
              <w:tabs>
                <w:tab w:val="center" w:pos="4314"/>
                <w:tab w:val="left" w:pos="5440"/>
              </w:tabs>
              <w:ind w:left="459" w:hanging="459"/>
              <w:jc w:val="both"/>
              <w:rPr>
                <w:rFonts w:cs="Arial"/>
                <w:b/>
              </w:rPr>
            </w:pPr>
            <w:r w:rsidRPr="00276249">
              <w:rPr>
                <w:rStyle w:val="Firstpagetablebold"/>
                <w:rFonts w:cs="Arial"/>
                <w:b w:val="0"/>
              </w:rPr>
              <w:t>2.   Equalities Impact Assessment</w:t>
            </w:r>
          </w:p>
        </w:tc>
      </w:tr>
    </w:tbl>
    <w:p w:rsidR="00460F3C" w:rsidRPr="00276249" w:rsidRDefault="00F66DCA" w:rsidP="00A81904">
      <w:pPr>
        <w:pStyle w:val="Heading1"/>
        <w:jc w:val="both"/>
        <w:rPr>
          <w:rFonts w:cs="Arial"/>
        </w:rPr>
      </w:pPr>
      <w:r w:rsidRPr="00276249">
        <w:rPr>
          <w:rFonts w:cs="Arial"/>
        </w:rPr>
        <w:lastRenderedPageBreak/>
        <w:t>Introduction and b</w:t>
      </w:r>
      <w:r w:rsidR="00151888" w:rsidRPr="00276249">
        <w:rPr>
          <w:rFonts w:cs="Arial"/>
        </w:rPr>
        <w:t>ackground</w:t>
      </w:r>
      <w:r w:rsidR="00404032" w:rsidRPr="00276249">
        <w:rPr>
          <w:rFonts w:cs="Arial"/>
        </w:rPr>
        <w:t xml:space="preserve"> </w:t>
      </w:r>
    </w:p>
    <w:p w:rsidR="005C65B5" w:rsidRPr="00276249" w:rsidRDefault="0056052D" w:rsidP="00A81904">
      <w:pPr>
        <w:pStyle w:val="Heading1"/>
        <w:numPr>
          <w:ilvl w:val="0"/>
          <w:numId w:val="35"/>
        </w:numPr>
        <w:ind w:left="426"/>
        <w:jc w:val="both"/>
        <w:rPr>
          <w:rFonts w:cs="Arial"/>
          <w:b w:val="0"/>
        </w:rPr>
      </w:pPr>
      <w:r w:rsidRPr="00276249">
        <w:rPr>
          <w:rFonts w:cs="Arial"/>
          <w:b w:val="0"/>
        </w:rPr>
        <w:t xml:space="preserve">European twinning programmes developed primarily as a result of the devastation caused by the world wars. They aimed to build trust and understanding across cities, countries and cultures in the hope that they could help prevent similar catastrophes in future. Building relationships between individuals </w:t>
      </w:r>
      <w:r w:rsidR="00915017" w:rsidRPr="00276249">
        <w:rPr>
          <w:rFonts w:cs="Arial"/>
          <w:b w:val="0"/>
        </w:rPr>
        <w:t xml:space="preserve">and communities </w:t>
      </w:r>
      <w:r w:rsidRPr="00276249">
        <w:rPr>
          <w:rFonts w:cs="Arial"/>
          <w:b w:val="0"/>
        </w:rPr>
        <w:t>– citizens and civic leaders – was at the heart of this aspiration.</w:t>
      </w:r>
    </w:p>
    <w:p w:rsidR="005C65B5" w:rsidRPr="00276249" w:rsidRDefault="005C65B5" w:rsidP="00A81904">
      <w:pPr>
        <w:pStyle w:val="Heading1"/>
        <w:numPr>
          <w:ilvl w:val="0"/>
          <w:numId w:val="35"/>
        </w:numPr>
        <w:ind w:left="426"/>
        <w:jc w:val="both"/>
        <w:rPr>
          <w:rFonts w:cs="Arial"/>
          <w:b w:val="0"/>
        </w:rPr>
      </w:pPr>
      <w:r w:rsidRPr="00276249">
        <w:rPr>
          <w:rFonts w:cs="Arial"/>
          <w:b w:val="0"/>
        </w:rPr>
        <w:t xml:space="preserve">In contemporary life, </w:t>
      </w:r>
      <w:r w:rsidR="00696A3C" w:rsidRPr="00276249">
        <w:rPr>
          <w:rFonts w:cs="Arial"/>
          <w:b w:val="0"/>
        </w:rPr>
        <w:t>internation</w:t>
      </w:r>
      <w:r w:rsidR="00663AD1" w:rsidRPr="00276249">
        <w:rPr>
          <w:rFonts w:cs="Arial"/>
          <w:b w:val="0"/>
        </w:rPr>
        <w:t>al</w:t>
      </w:r>
      <w:r w:rsidR="00696A3C" w:rsidRPr="00276249">
        <w:rPr>
          <w:rFonts w:cs="Arial"/>
          <w:b w:val="0"/>
        </w:rPr>
        <w:t xml:space="preserve"> links promote</w:t>
      </w:r>
      <w:r w:rsidRPr="00276249">
        <w:rPr>
          <w:rFonts w:cs="Arial"/>
          <w:b w:val="0"/>
        </w:rPr>
        <w:t xml:space="preserve"> tourism</w:t>
      </w:r>
      <w:r w:rsidR="00A81904" w:rsidRPr="00276249">
        <w:rPr>
          <w:rFonts w:cs="Arial"/>
          <w:b w:val="0"/>
        </w:rPr>
        <w:t>, cohesion</w:t>
      </w:r>
      <w:r w:rsidR="00276249" w:rsidRPr="00276249">
        <w:rPr>
          <w:rFonts w:cs="Arial"/>
          <w:b w:val="0"/>
        </w:rPr>
        <w:t xml:space="preserve"> and economic development. They</w:t>
      </w:r>
      <w:r w:rsidRPr="00276249">
        <w:rPr>
          <w:rFonts w:cs="Arial"/>
          <w:b w:val="0"/>
        </w:rPr>
        <w:t xml:space="preserve"> create opportunities for groups, schools</w:t>
      </w:r>
      <w:r w:rsidR="00A81904" w:rsidRPr="00276249">
        <w:rPr>
          <w:rFonts w:cs="Arial"/>
          <w:b w:val="0"/>
        </w:rPr>
        <w:t xml:space="preserve">, </w:t>
      </w:r>
      <w:r w:rsidRPr="00276249">
        <w:rPr>
          <w:rFonts w:cs="Arial"/>
          <w:b w:val="0"/>
        </w:rPr>
        <w:t>individuals</w:t>
      </w:r>
      <w:r w:rsidR="00A81904" w:rsidRPr="00276249">
        <w:rPr>
          <w:rFonts w:cs="Arial"/>
          <w:b w:val="0"/>
        </w:rPr>
        <w:t xml:space="preserve">, </w:t>
      </w:r>
      <w:r w:rsidRPr="00276249">
        <w:rPr>
          <w:rFonts w:cs="Arial"/>
          <w:b w:val="0"/>
        </w:rPr>
        <w:t>families and b</w:t>
      </w:r>
      <w:r w:rsidR="00A81904" w:rsidRPr="00276249">
        <w:rPr>
          <w:rFonts w:cs="Arial"/>
          <w:b w:val="0"/>
        </w:rPr>
        <w:t>usinesses in different countries</w:t>
      </w:r>
      <w:r w:rsidRPr="00276249">
        <w:rPr>
          <w:rFonts w:cs="Arial"/>
          <w:b w:val="0"/>
        </w:rPr>
        <w:t xml:space="preserve"> to get together in person and digitally to excha</w:t>
      </w:r>
      <w:r w:rsidR="00817FE5" w:rsidRPr="00276249">
        <w:rPr>
          <w:rFonts w:cs="Arial"/>
          <w:b w:val="0"/>
        </w:rPr>
        <w:t xml:space="preserve">nge and learn from each other. </w:t>
      </w:r>
      <w:r w:rsidR="00276249" w:rsidRPr="00276249">
        <w:rPr>
          <w:rFonts w:cs="Arial"/>
          <w:b w:val="0"/>
        </w:rPr>
        <w:t>They</w:t>
      </w:r>
      <w:r w:rsidRPr="00276249">
        <w:rPr>
          <w:rFonts w:cs="Arial"/>
          <w:b w:val="0"/>
        </w:rPr>
        <w:t xml:space="preserve"> </w:t>
      </w:r>
      <w:proofErr w:type="gramStart"/>
      <w:r w:rsidRPr="00276249">
        <w:rPr>
          <w:rFonts w:cs="Arial"/>
          <w:b w:val="0"/>
        </w:rPr>
        <w:t>helps</w:t>
      </w:r>
      <w:proofErr w:type="gramEnd"/>
      <w:r w:rsidRPr="00276249">
        <w:rPr>
          <w:rFonts w:cs="Arial"/>
          <w:b w:val="0"/>
        </w:rPr>
        <w:t xml:space="preserve"> to ex</w:t>
      </w:r>
      <w:r w:rsidR="00586D7C" w:rsidRPr="00276249">
        <w:rPr>
          <w:rFonts w:cs="Arial"/>
          <w:b w:val="0"/>
        </w:rPr>
        <w:t xml:space="preserve">pand </w:t>
      </w:r>
      <w:r w:rsidRPr="00276249">
        <w:rPr>
          <w:rFonts w:cs="Arial"/>
          <w:b w:val="0"/>
        </w:rPr>
        <w:t>horizons, build new friendships and establish useful commercial links as well as to practi</w:t>
      </w:r>
      <w:r w:rsidR="00276249" w:rsidRPr="00276249">
        <w:rPr>
          <w:rFonts w:cs="Arial"/>
          <w:b w:val="0"/>
        </w:rPr>
        <w:t>s</w:t>
      </w:r>
      <w:r w:rsidRPr="00276249">
        <w:rPr>
          <w:rFonts w:cs="Arial"/>
          <w:b w:val="0"/>
        </w:rPr>
        <w:t>e languages and other skills and sample each other’s countries</w:t>
      </w:r>
      <w:r w:rsidR="00276249" w:rsidRPr="00276249">
        <w:rPr>
          <w:rFonts w:cs="Arial"/>
          <w:b w:val="0"/>
        </w:rPr>
        <w:t>’</w:t>
      </w:r>
      <w:r w:rsidRPr="00276249">
        <w:rPr>
          <w:rFonts w:cs="Arial"/>
          <w:b w:val="0"/>
        </w:rPr>
        <w:t xml:space="preserve"> cultures.</w:t>
      </w:r>
    </w:p>
    <w:p w:rsidR="00460F3C" w:rsidRPr="00276249" w:rsidRDefault="0056052D" w:rsidP="00A81904">
      <w:pPr>
        <w:pStyle w:val="Heading1"/>
        <w:numPr>
          <w:ilvl w:val="0"/>
          <w:numId w:val="35"/>
        </w:numPr>
        <w:ind w:left="426"/>
        <w:jc w:val="both"/>
        <w:rPr>
          <w:rFonts w:cs="Arial"/>
          <w:b w:val="0"/>
        </w:rPr>
      </w:pPr>
      <w:r w:rsidRPr="00276249">
        <w:rPr>
          <w:rFonts w:cs="Arial"/>
          <w:b w:val="0"/>
        </w:rPr>
        <w:t xml:space="preserve">Oxford has been twinned with Bonn since 1947 and was one of the first cities to establish a formal Anglo-German link after the war. The Oxford/Bonn link draws on strong musical, school and university contacts; art, sport, youth theatre and business contacts have also been made. </w:t>
      </w:r>
    </w:p>
    <w:p w:rsidR="00460F3C" w:rsidRPr="00276249" w:rsidRDefault="0056052D" w:rsidP="00A81904">
      <w:pPr>
        <w:pStyle w:val="Heading1"/>
        <w:numPr>
          <w:ilvl w:val="0"/>
          <w:numId w:val="35"/>
        </w:numPr>
        <w:ind w:left="426"/>
        <w:jc w:val="both"/>
        <w:rPr>
          <w:rFonts w:cs="Arial"/>
          <w:b w:val="0"/>
        </w:rPr>
      </w:pPr>
      <w:r w:rsidRPr="00276249">
        <w:rPr>
          <w:rFonts w:cs="Arial"/>
          <w:b w:val="0"/>
        </w:rPr>
        <w:t xml:space="preserve">The Oxford-Leiden Link was established immediately after the Second World War and has adapted and evolved over the years to reflect changing lifestyles. Our link with Leiden has a strong civic basis, and has also been one of the most active sporting links.                                                                                                                        </w:t>
      </w:r>
    </w:p>
    <w:p w:rsidR="00460F3C" w:rsidRPr="00276249" w:rsidRDefault="0056052D" w:rsidP="00A81904">
      <w:pPr>
        <w:pStyle w:val="Heading1"/>
        <w:numPr>
          <w:ilvl w:val="0"/>
          <w:numId w:val="35"/>
        </w:numPr>
        <w:ind w:left="426"/>
        <w:jc w:val="both"/>
        <w:rPr>
          <w:rFonts w:cs="Arial"/>
          <w:b w:val="0"/>
        </w:rPr>
      </w:pPr>
      <w:r w:rsidRPr="00276249">
        <w:rPr>
          <w:rFonts w:cs="Arial"/>
          <w:b w:val="0"/>
        </w:rPr>
        <w:t xml:space="preserve">The Oxford-Grenoble Association was founded in 1989, and has since had many exchanges based on links between musical, </w:t>
      </w:r>
      <w:r w:rsidR="00224217" w:rsidRPr="00276249">
        <w:rPr>
          <w:rFonts w:cs="Arial"/>
          <w:b w:val="0"/>
        </w:rPr>
        <w:t xml:space="preserve">artistic, </w:t>
      </w:r>
      <w:r w:rsidRPr="00276249">
        <w:rPr>
          <w:rFonts w:cs="Arial"/>
          <w:b w:val="0"/>
        </w:rPr>
        <w:t xml:space="preserve">scientific and school groups. </w:t>
      </w:r>
    </w:p>
    <w:p w:rsidR="00460F3C" w:rsidRPr="00276249" w:rsidRDefault="0056052D" w:rsidP="00A81904">
      <w:pPr>
        <w:pStyle w:val="Heading1"/>
        <w:numPr>
          <w:ilvl w:val="0"/>
          <w:numId w:val="35"/>
        </w:numPr>
        <w:ind w:left="426"/>
        <w:jc w:val="both"/>
        <w:rPr>
          <w:rFonts w:cs="Arial"/>
          <w:b w:val="0"/>
        </w:rPr>
      </w:pPr>
      <w:r w:rsidRPr="00276249">
        <w:rPr>
          <w:rFonts w:cs="Arial"/>
          <w:b w:val="0"/>
        </w:rPr>
        <w:t xml:space="preserve">The Oxford-Perm link began to grow in the late </w:t>
      </w:r>
      <w:r w:rsidR="00A81904" w:rsidRPr="00276249">
        <w:rPr>
          <w:rFonts w:cs="Arial"/>
          <w:b w:val="0"/>
        </w:rPr>
        <w:t>19</w:t>
      </w:r>
      <w:r w:rsidRPr="00276249">
        <w:rPr>
          <w:rFonts w:cs="Arial"/>
          <w:b w:val="0"/>
        </w:rPr>
        <w:t xml:space="preserve">80s, as the city was developing and </w:t>
      </w:r>
      <w:r w:rsidR="005647BD" w:rsidRPr="00276249">
        <w:rPr>
          <w:rFonts w:cs="Arial"/>
          <w:b w:val="0"/>
        </w:rPr>
        <w:t>barriers to communication were gradually eased</w:t>
      </w:r>
      <w:r w:rsidR="00276249" w:rsidRPr="00276249">
        <w:rPr>
          <w:rFonts w:cs="Arial"/>
          <w:b w:val="0"/>
        </w:rPr>
        <w:t xml:space="preserve">.  Oxford provided support to Perm </w:t>
      </w:r>
      <w:r w:rsidR="00783006">
        <w:rPr>
          <w:rFonts w:cs="Arial"/>
          <w:b w:val="0"/>
        </w:rPr>
        <w:t xml:space="preserve">to set up </w:t>
      </w:r>
      <w:r w:rsidR="00E053CA" w:rsidRPr="00276249">
        <w:rPr>
          <w:rFonts w:cs="Arial"/>
          <w:b w:val="0"/>
        </w:rPr>
        <w:t>democratic structures after the dissolution of the Soviet Union</w:t>
      </w:r>
      <w:r w:rsidR="00276249" w:rsidRPr="00276249">
        <w:rPr>
          <w:rFonts w:cs="Arial"/>
          <w:b w:val="0"/>
        </w:rPr>
        <w:t xml:space="preserve"> and the link</w:t>
      </w:r>
      <w:r w:rsidRPr="00276249">
        <w:rPr>
          <w:rFonts w:cs="Arial"/>
          <w:b w:val="0"/>
        </w:rPr>
        <w:t xml:space="preserve"> was formalised in 1995. This link was based on strong university ties and maintains an academic focus, although many other </w:t>
      </w:r>
      <w:r w:rsidR="00D3295A" w:rsidRPr="00276249">
        <w:rPr>
          <w:rFonts w:cs="Arial"/>
          <w:b w:val="0"/>
        </w:rPr>
        <w:t xml:space="preserve">activities </w:t>
      </w:r>
      <w:r w:rsidRPr="00276249">
        <w:rPr>
          <w:rFonts w:cs="Arial"/>
          <w:b w:val="0"/>
        </w:rPr>
        <w:t>take place</w:t>
      </w:r>
      <w:r w:rsidR="00AB5246" w:rsidRPr="00276249">
        <w:rPr>
          <w:rFonts w:cs="Arial"/>
          <w:b w:val="0"/>
        </w:rPr>
        <w:t xml:space="preserve"> including sports, arts and schools exchanges</w:t>
      </w:r>
      <w:r w:rsidRPr="00276249">
        <w:rPr>
          <w:rFonts w:cs="Arial"/>
          <w:b w:val="0"/>
        </w:rPr>
        <w:t xml:space="preserve">. </w:t>
      </w:r>
    </w:p>
    <w:p w:rsidR="003066F0" w:rsidRPr="00276249" w:rsidRDefault="0056052D" w:rsidP="00A81904">
      <w:pPr>
        <w:pStyle w:val="Heading1"/>
        <w:numPr>
          <w:ilvl w:val="0"/>
          <w:numId w:val="35"/>
        </w:numPr>
        <w:ind w:left="426"/>
        <w:jc w:val="both"/>
        <w:rPr>
          <w:rFonts w:cs="Arial"/>
          <w:b w:val="0"/>
        </w:rPr>
      </w:pPr>
      <w:r w:rsidRPr="00276249">
        <w:rPr>
          <w:rFonts w:cs="Arial"/>
          <w:b w:val="0"/>
        </w:rPr>
        <w:t>Oxford’s link with Leon</w:t>
      </w:r>
      <w:r w:rsidR="00A81904" w:rsidRPr="00276249">
        <w:rPr>
          <w:rFonts w:cs="Arial"/>
          <w:b w:val="0"/>
        </w:rPr>
        <w:t xml:space="preserve"> in </w:t>
      </w:r>
      <w:r w:rsidRPr="00276249">
        <w:rPr>
          <w:rFonts w:cs="Arial"/>
          <w:b w:val="0"/>
        </w:rPr>
        <w:t>Nicaragua was formalised in 1986, and focuses on fundraising f</w:t>
      </w:r>
      <w:r w:rsidR="00A81904" w:rsidRPr="00276249">
        <w:rPr>
          <w:rFonts w:cs="Arial"/>
          <w:b w:val="0"/>
        </w:rPr>
        <w:t>or improvement projects in Leon</w:t>
      </w:r>
      <w:r w:rsidRPr="00276249">
        <w:rPr>
          <w:rFonts w:cs="Arial"/>
          <w:b w:val="0"/>
        </w:rPr>
        <w:t xml:space="preserve">. With the new possibilities afforded by developing technology, </w:t>
      </w:r>
      <w:r w:rsidR="00F61A37" w:rsidRPr="00276249">
        <w:rPr>
          <w:rFonts w:cs="Arial"/>
          <w:b w:val="0"/>
        </w:rPr>
        <w:t xml:space="preserve">it is hoped that </w:t>
      </w:r>
      <w:r w:rsidRPr="00276249">
        <w:rPr>
          <w:rFonts w:cs="Arial"/>
          <w:b w:val="0"/>
        </w:rPr>
        <w:t xml:space="preserve">this link will be able to expand into more </w:t>
      </w:r>
      <w:r w:rsidR="008B238F" w:rsidRPr="00276249">
        <w:rPr>
          <w:rFonts w:cs="Arial"/>
          <w:b w:val="0"/>
        </w:rPr>
        <w:t xml:space="preserve">community </w:t>
      </w:r>
      <w:r w:rsidRPr="00276249">
        <w:rPr>
          <w:rFonts w:cs="Arial"/>
          <w:b w:val="0"/>
        </w:rPr>
        <w:t>exchange activities.</w:t>
      </w:r>
    </w:p>
    <w:p w:rsidR="003066F0" w:rsidRPr="00276249" w:rsidRDefault="003066F0" w:rsidP="00A81904">
      <w:pPr>
        <w:pStyle w:val="Heading1"/>
        <w:numPr>
          <w:ilvl w:val="0"/>
          <w:numId w:val="35"/>
        </w:numPr>
        <w:ind w:left="426"/>
        <w:jc w:val="both"/>
        <w:rPr>
          <w:rFonts w:cs="Arial"/>
          <w:b w:val="0"/>
        </w:rPr>
      </w:pPr>
      <w:r w:rsidRPr="00276249">
        <w:rPr>
          <w:rFonts w:cs="Arial"/>
          <w:b w:val="0"/>
        </w:rPr>
        <w:t xml:space="preserve">Each </w:t>
      </w:r>
      <w:r w:rsidR="00892F1A" w:rsidRPr="00276249">
        <w:rPr>
          <w:rFonts w:cs="Arial"/>
          <w:b w:val="0"/>
        </w:rPr>
        <w:t>t</w:t>
      </w:r>
      <w:r w:rsidRPr="00276249">
        <w:rPr>
          <w:rFonts w:cs="Arial"/>
          <w:b w:val="0"/>
        </w:rPr>
        <w:t xml:space="preserve">win </w:t>
      </w:r>
      <w:r w:rsidR="00892F1A" w:rsidRPr="00276249">
        <w:rPr>
          <w:rFonts w:cs="Arial"/>
          <w:b w:val="0"/>
        </w:rPr>
        <w:t>c</w:t>
      </w:r>
      <w:r w:rsidRPr="00276249">
        <w:rPr>
          <w:rFonts w:cs="Arial"/>
          <w:b w:val="0"/>
        </w:rPr>
        <w:t xml:space="preserve">ity link has a volunteer run Link Association/Committee in Oxford which organises activities and cultural exchanges between people from Oxford and their corresponding international link. Oxford City Council </w:t>
      </w:r>
      <w:r w:rsidR="00DB4ACA" w:rsidRPr="00276249">
        <w:rPr>
          <w:rFonts w:cs="Arial"/>
          <w:b w:val="0"/>
        </w:rPr>
        <w:t xml:space="preserve">International Links </w:t>
      </w:r>
      <w:r w:rsidR="00E16DE3" w:rsidRPr="00276249">
        <w:rPr>
          <w:rFonts w:cs="Arial"/>
          <w:b w:val="0"/>
        </w:rPr>
        <w:t xml:space="preserve">part-time </w:t>
      </w:r>
      <w:r w:rsidR="00DB4ACA" w:rsidRPr="00276249">
        <w:rPr>
          <w:rFonts w:cs="Arial"/>
          <w:b w:val="0"/>
        </w:rPr>
        <w:t xml:space="preserve">Coordinator </w:t>
      </w:r>
      <w:r w:rsidRPr="00276249">
        <w:rPr>
          <w:rFonts w:cs="Arial"/>
          <w:b w:val="0"/>
        </w:rPr>
        <w:t xml:space="preserve">provides co-ordination support to assist </w:t>
      </w:r>
      <w:r w:rsidR="00503AE1" w:rsidRPr="00276249">
        <w:rPr>
          <w:rFonts w:cs="Arial"/>
          <w:b w:val="0"/>
        </w:rPr>
        <w:t xml:space="preserve">each of </w:t>
      </w:r>
      <w:r w:rsidRPr="00276249">
        <w:rPr>
          <w:rFonts w:cs="Arial"/>
          <w:b w:val="0"/>
        </w:rPr>
        <w:t>the volunteer links in Oxford</w:t>
      </w:r>
      <w:r w:rsidR="00C63811" w:rsidRPr="00276249">
        <w:rPr>
          <w:rFonts w:cs="Arial"/>
          <w:b w:val="0"/>
        </w:rPr>
        <w:t xml:space="preserve"> filling skills and capacity gaps, where required, to ensure the success of twin</w:t>
      </w:r>
      <w:r w:rsidR="000173A8" w:rsidRPr="00276249">
        <w:rPr>
          <w:rFonts w:cs="Arial"/>
          <w:b w:val="0"/>
        </w:rPr>
        <w:t>n</w:t>
      </w:r>
      <w:r w:rsidR="00C63811" w:rsidRPr="00276249">
        <w:rPr>
          <w:rFonts w:cs="Arial"/>
          <w:b w:val="0"/>
        </w:rPr>
        <w:t>ing projects</w:t>
      </w:r>
      <w:r w:rsidRPr="00276249">
        <w:rPr>
          <w:rFonts w:cs="Arial"/>
          <w:b w:val="0"/>
        </w:rPr>
        <w:t xml:space="preserve">.    </w:t>
      </w:r>
    </w:p>
    <w:p w:rsidR="003066F0" w:rsidRPr="00276249" w:rsidRDefault="003066F0" w:rsidP="00A81904">
      <w:pPr>
        <w:pStyle w:val="Heading1"/>
        <w:numPr>
          <w:ilvl w:val="0"/>
          <w:numId w:val="35"/>
        </w:numPr>
        <w:ind w:left="426"/>
        <w:jc w:val="both"/>
        <w:rPr>
          <w:rFonts w:cs="Arial"/>
          <w:b w:val="0"/>
        </w:rPr>
      </w:pPr>
      <w:r w:rsidRPr="00276249">
        <w:rPr>
          <w:rFonts w:cs="Arial"/>
          <w:b w:val="0"/>
        </w:rPr>
        <w:t xml:space="preserve">Oxford International Links (OIL) is a volunteer run committee which works closely with Oxford City Council and the individual Oxford Link Associations to support the development of activities that celebrate the historic friendship the city has with our </w:t>
      </w:r>
      <w:r w:rsidR="00892F1A" w:rsidRPr="00276249">
        <w:rPr>
          <w:rFonts w:cs="Arial"/>
          <w:b w:val="0"/>
        </w:rPr>
        <w:t>t</w:t>
      </w:r>
      <w:r w:rsidRPr="00276249">
        <w:rPr>
          <w:rFonts w:cs="Arial"/>
          <w:b w:val="0"/>
        </w:rPr>
        <w:t xml:space="preserve">win </w:t>
      </w:r>
      <w:r w:rsidR="00892F1A" w:rsidRPr="00276249">
        <w:rPr>
          <w:rFonts w:cs="Arial"/>
          <w:b w:val="0"/>
        </w:rPr>
        <w:t>c</w:t>
      </w:r>
      <w:r w:rsidRPr="00276249">
        <w:rPr>
          <w:rFonts w:cs="Arial"/>
          <w:b w:val="0"/>
        </w:rPr>
        <w:t xml:space="preserve">ities. </w:t>
      </w:r>
      <w:r w:rsidR="008B238F" w:rsidRPr="00276249">
        <w:rPr>
          <w:rFonts w:cs="Arial"/>
          <w:b w:val="0"/>
        </w:rPr>
        <w:t xml:space="preserve">The </w:t>
      </w:r>
      <w:r w:rsidRPr="00276249">
        <w:rPr>
          <w:rFonts w:cs="Arial"/>
          <w:b w:val="0"/>
        </w:rPr>
        <w:t xml:space="preserve">Oxford City Council </w:t>
      </w:r>
      <w:r w:rsidR="00DB4ACA" w:rsidRPr="00276249">
        <w:rPr>
          <w:rFonts w:cs="Arial"/>
          <w:b w:val="0"/>
        </w:rPr>
        <w:t xml:space="preserve">International Links Coordinator </w:t>
      </w:r>
      <w:r w:rsidRPr="00276249">
        <w:rPr>
          <w:rFonts w:cs="Arial"/>
          <w:b w:val="0"/>
        </w:rPr>
        <w:t xml:space="preserve">provides co-ordination assistance to OIL and also </w:t>
      </w:r>
      <w:r w:rsidR="003B1B29" w:rsidRPr="00276249">
        <w:rPr>
          <w:rFonts w:cs="Arial"/>
          <w:b w:val="0"/>
        </w:rPr>
        <w:t xml:space="preserve">monitors </w:t>
      </w:r>
      <w:r w:rsidR="00D3295A" w:rsidRPr="00276249">
        <w:rPr>
          <w:rFonts w:cs="Arial"/>
          <w:b w:val="0"/>
        </w:rPr>
        <w:t xml:space="preserve">the </w:t>
      </w:r>
      <w:r w:rsidR="003B1B29" w:rsidRPr="00276249">
        <w:rPr>
          <w:rFonts w:cs="Arial"/>
          <w:b w:val="0"/>
        </w:rPr>
        <w:t xml:space="preserve">Oxford City Council </w:t>
      </w:r>
      <w:r w:rsidRPr="00276249">
        <w:rPr>
          <w:rFonts w:cs="Arial"/>
          <w:b w:val="0"/>
        </w:rPr>
        <w:t xml:space="preserve">grant </w:t>
      </w:r>
      <w:r w:rsidRPr="00276249">
        <w:rPr>
          <w:rFonts w:cs="Arial"/>
          <w:b w:val="0"/>
        </w:rPr>
        <w:lastRenderedPageBreak/>
        <w:t xml:space="preserve">funding </w:t>
      </w:r>
      <w:r w:rsidR="003B1B29" w:rsidRPr="00276249">
        <w:rPr>
          <w:rFonts w:cs="Arial"/>
          <w:b w:val="0"/>
        </w:rPr>
        <w:t xml:space="preserve">allocated </w:t>
      </w:r>
      <w:r w:rsidRPr="00276249">
        <w:rPr>
          <w:rFonts w:cs="Arial"/>
          <w:b w:val="0"/>
        </w:rPr>
        <w:t xml:space="preserve">to OIL on a Service Level Agreement basis. OIL administers grants to individual Links/Associations and also runs some </w:t>
      </w:r>
      <w:r w:rsidR="00526FC7" w:rsidRPr="00276249">
        <w:rPr>
          <w:rFonts w:cs="Arial"/>
          <w:b w:val="0"/>
        </w:rPr>
        <w:t>twin</w:t>
      </w:r>
      <w:r w:rsidR="006C662B" w:rsidRPr="00276249">
        <w:rPr>
          <w:rFonts w:cs="Arial"/>
          <w:b w:val="0"/>
        </w:rPr>
        <w:t>n</w:t>
      </w:r>
      <w:r w:rsidR="00526FC7" w:rsidRPr="00276249">
        <w:rPr>
          <w:rFonts w:cs="Arial"/>
          <w:b w:val="0"/>
        </w:rPr>
        <w:t xml:space="preserve">ing </w:t>
      </w:r>
      <w:r w:rsidRPr="00276249">
        <w:rPr>
          <w:rFonts w:cs="Arial"/>
          <w:b w:val="0"/>
        </w:rPr>
        <w:t>activities directly.</w:t>
      </w:r>
    </w:p>
    <w:p w:rsidR="003066F0" w:rsidRPr="00276249" w:rsidRDefault="003066F0" w:rsidP="00A81904">
      <w:pPr>
        <w:pStyle w:val="Heading1"/>
        <w:numPr>
          <w:ilvl w:val="0"/>
          <w:numId w:val="35"/>
        </w:numPr>
        <w:ind w:left="426"/>
        <w:jc w:val="both"/>
        <w:rPr>
          <w:rFonts w:cs="Arial"/>
          <w:b w:val="0"/>
        </w:rPr>
      </w:pPr>
      <w:r w:rsidRPr="00276249">
        <w:rPr>
          <w:rFonts w:cs="Arial"/>
          <w:b w:val="0"/>
        </w:rPr>
        <w:t xml:space="preserve">In addition to supporting the volunteer </w:t>
      </w:r>
      <w:r w:rsidR="00892F1A" w:rsidRPr="00276249">
        <w:rPr>
          <w:rFonts w:cs="Arial"/>
          <w:b w:val="0"/>
        </w:rPr>
        <w:t>l</w:t>
      </w:r>
      <w:r w:rsidRPr="00276249">
        <w:rPr>
          <w:rFonts w:cs="Arial"/>
          <w:b w:val="0"/>
        </w:rPr>
        <w:t xml:space="preserve">inks and OIL, </w:t>
      </w:r>
      <w:r w:rsidR="000535CC" w:rsidRPr="00276249">
        <w:rPr>
          <w:rFonts w:cs="Arial"/>
          <w:b w:val="0"/>
        </w:rPr>
        <w:t xml:space="preserve">Oxford City Council </w:t>
      </w:r>
      <w:r w:rsidRPr="00276249">
        <w:rPr>
          <w:rFonts w:cs="Arial"/>
          <w:b w:val="0"/>
        </w:rPr>
        <w:t xml:space="preserve">also </w:t>
      </w:r>
      <w:r w:rsidR="000535CC" w:rsidRPr="00276249">
        <w:rPr>
          <w:rFonts w:cs="Arial"/>
          <w:b w:val="0"/>
        </w:rPr>
        <w:t xml:space="preserve">co-ordinates </w:t>
      </w:r>
      <w:r w:rsidRPr="00276249">
        <w:rPr>
          <w:rFonts w:cs="Arial"/>
          <w:b w:val="0"/>
        </w:rPr>
        <w:t xml:space="preserve">international partnerships and collaboration projects which include but are not exclusively with Oxford’s twin cities. The main focus for these projects is collaboration between young people e.g. Ethno music project and </w:t>
      </w:r>
      <w:r w:rsidR="00892F1A" w:rsidRPr="00276249">
        <w:rPr>
          <w:rFonts w:cs="Arial"/>
          <w:b w:val="0"/>
        </w:rPr>
        <w:t>t</w:t>
      </w:r>
      <w:r w:rsidRPr="00276249">
        <w:rPr>
          <w:rFonts w:cs="Arial"/>
          <w:b w:val="0"/>
        </w:rPr>
        <w:t xml:space="preserve">win </w:t>
      </w:r>
      <w:r w:rsidR="00892F1A" w:rsidRPr="00276249">
        <w:rPr>
          <w:rFonts w:cs="Arial"/>
          <w:b w:val="0"/>
        </w:rPr>
        <w:t>c</w:t>
      </w:r>
      <w:r w:rsidRPr="00276249">
        <w:rPr>
          <w:rFonts w:cs="Arial"/>
          <w:b w:val="0"/>
        </w:rPr>
        <w:t>ity involvement in Cowley Road Carnival, Oxford Christmas Lights Festival and Pegasus Theatre project, which are designed specifically to deliver on Council core objectives.</w:t>
      </w:r>
      <w:r w:rsidR="005D27EB" w:rsidRPr="00276249">
        <w:rPr>
          <w:rFonts w:cs="Arial"/>
          <w:b w:val="0"/>
        </w:rPr>
        <w:t xml:space="preserve"> The International Links Coordinator also respond</w:t>
      </w:r>
      <w:r w:rsidR="00771241" w:rsidRPr="00276249">
        <w:rPr>
          <w:rFonts w:cs="Arial"/>
          <w:b w:val="0"/>
        </w:rPr>
        <w:t>s</w:t>
      </w:r>
      <w:r w:rsidR="005D27EB" w:rsidRPr="00276249">
        <w:rPr>
          <w:rFonts w:cs="Arial"/>
          <w:b w:val="0"/>
        </w:rPr>
        <w:t xml:space="preserve"> to</w:t>
      </w:r>
      <w:r w:rsidR="00D3295A" w:rsidRPr="00276249">
        <w:rPr>
          <w:rFonts w:cs="Arial"/>
          <w:b w:val="0"/>
        </w:rPr>
        <w:t xml:space="preserve"> initiatives and requests from the Council’s</w:t>
      </w:r>
      <w:r w:rsidR="005D27EB" w:rsidRPr="00276249">
        <w:rPr>
          <w:rFonts w:cs="Arial"/>
          <w:b w:val="0"/>
        </w:rPr>
        <w:t xml:space="preserve"> international </w:t>
      </w:r>
      <w:r w:rsidR="00EC5FBF" w:rsidRPr="00276249">
        <w:rPr>
          <w:rFonts w:cs="Arial"/>
          <w:b w:val="0"/>
        </w:rPr>
        <w:t>t</w:t>
      </w:r>
      <w:r w:rsidR="005D27EB" w:rsidRPr="00276249">
        <w:rPr>
          <w:rFonts w:cs="Arial"/>
          <w:b w:val="0"/>
        </w:rPr>
        <w:t xml:space="preserve">win </w:t>
      </w:r>
      <w:r w:rsidR="00EC5FBF" w:rsidRPr="00276249">
        <w:rPr>
          <w:rFonts w:cs="Arial"/>
          <w:b w:val="0"/>
        </w:rPr>
        <w:t>c</w:t>
      </w:r>
      <w:r w:rsidR="005D27EB" w:rsidRPr="00276249">
        <w:rPr>
          <w:rFonts w:cs="Arial"/>
          <w:b w:val="0"/>
        </w:rPr>
        <w:t>ity offices and introduce</w:t>
      </w:r>
      <w:r w:rsidR="002C59CB" w:rsidRPr="00276249">
        <w:rPr>
          <w:rFonts w:cs="Arial"/>
          <w:b w:val="0"/>
        </w:rPr>
        <w:t>s</w:t>
      </w:r>
      <w:r w:rsidR="005D27EB" w:rsidRPr="00276249">
        <w:rPr>
          <w:rFonts w:cs="Arial"/>
          <w:b w:val="0"/>
        </w:rPr>
        <w:t xml:space="preserve"> people from our </w:t>
      </w:r>
      <w:r w:rsidR="00EC5FBF" w:rsidRPr="00276249">
        <w:rPr>
          <w:rFonts w:cs="Arial"/>
          <w:b w:val="0"/>
        </w:rPr>
        <w:t>t</w:t>
      </w:r>
      <w:r w:rsidR="005D27EB" w:rsidRPr="00276249">
        <w:rPr>
          <w:rFonts w:cs="Arial"/>
          <w:b w:val="0"/>
        </w:rPr>
        <w:t xml:space="preserve">win Cities to Oxford’s diverse community groups.  </w:t>
      </w:r>
    </w:p>
    <w:p w:rsidR="004B4027" w:rsidRPr="00276249" w:rsidRDefault="002E11F1" w:rsidP="00A81904">
      <w:pPr>
        <w:pStyle w:val="Heading1"/>
        <w:numPr>
          <w:ilvl w:val="0"/>
          <w:numId w:val="35"/>
        </w:numPr>
        <w:ind w:left="426"/>
        <w:jc w:val="both"/>
        <w:rPr>
          <w:rFonts w:cs="Arial"/>
          <w:b w:val="0"/>
        </w:rPr>
      </w:pPr>
      <w:r w:rsidRPr="00276249">
        <w:rPr>
          <w:rFonts w:cs="Arial"/>
          <w:b w:val="0"/>
        </w:rPr>
        <w:t xml:space="preserve">At the Oxford City Council Meeting on </w:t>
      </w:r>
      <w:r w:rsidR="004B4027" w:rsidRPr="00276249">
        <w:rPr>
          <w:rFonts w:cs="Arial"/>
          <w:b w:val="0"/>
        </w:rPr>
        <w:t>23 July 2018, the followi</w:t>
      </w:r>
      <w:r w:rsidR="0048330A" w:rsidRPr="00276249">
        <w:rPr>
          <w:rFonts w:cs="Arial"/>
          <w:b w:val="0"/>
        </w:rPr>
        <w:t>ng motion was passed by M</w:t>
      </w:r>
      <w:r w:rsidR="004B4027" w:rsidRPr="00276249">
        <w:rPr>
          <w:rFonts w:cs="Arial"/>
          <w:b w:val="0"/>
        </w:rPr>
        <w:t>embers:</w:t>
      </w:r>
    </w:p>
    <w:p w:rsidR="00872660" w:rsidRPr="00276249" w:rsidRDefault="008D24EA" w:rsidP="00A81904">
      <w:pPr>
        <w:pStyle w:val="ListParagraph"/>
        <w:numPr>
          <w:ilvl w:val="0"/>
          <w:numId w:val="0"/>
        </w:numPr>
        <w:tabs>
          <w:tab w:val="clear" w:pos="426"/>
        </w:tabs>
        <w:ind w:left="426"/>
        <w:jc w:val="both"/>
        <w:rPr>
          <w:rFonts w:cs="Arial"/>
          <w:i/>
        </w:rPr>
      </w:pPr>
      <w:r w:rsidRPr="00276249">
        <w:rPr>
          <w:rFonts w:cs="Arial"/>
          <w:i/>
        </w:rPr>
        <w:t>“</w:t>
      </w:r>
      <w:r w:rsidR="004B4027" w:rsidRPr="00276249">
        <w:rPr>
          <w:rFonts w:cs="Arial"/>
          <w:i/>
        </w:rPr>
        <w:t xml:space="preserve">Extending twinning links - Oxford City Council reaffirms its commitment to do all it can to ensure that Oxford remains an international and European city open to all. </w:t>
      </w:r>
      <w:r w:rsidRPr="00276249">
        <w:rPr>
          <w:rFonts w:cs="Arial"/>
          <w:i/>
        </w:rPr>
        <w:t xml:space="preserve"> </w:t>
      </w:r>
      <w:r w:rsidR="004B4027" w:rsidRPr="00276249">
        <w:rPr>
          <w:rFonts w:cs="Arial"/>
          <w:i/>
        </w:rPr>
        <w:t xml:space="preserve">Whatever the results of Britain’s negotiations with the rest of the European Union, we are determined to strengthen and deepen Oxford’s links with other cities inside and outside Europe. </w:t>
      </w:r>
      <w:r w:rsidRPr="00276249">
        <w:rPr>
          <w:rFonts w:cs="Arial"/>
          <w:i/>
        </w:rPr>
        <w:t xml:space="preserve"> </w:t>
      </w:r>
      <w:r w:rsidR="004B4027" w:rsidRPr="00276249">
        <w:rPr>
          <w:rFonts w:cs="Arial"/>
          <w:i/>
        </w:rPr>
        <w:t>To this end we call on the City Executive Board to: a) continue support for Oxford’s existing twinning links with Leiden (Netherlands), Bonn (Germany), Grenoble (France), Perm (Russia) and Leon (Nicaragua); b) continue to support the Oxford European Association and promote the interests of non-British European citizens living in Oxford; c) initiate new twinning links with both Wroclaw (Poland) and Padua (Italy); d) initiate a twinning link based on the long-standing friendship between Oxford and Ramallah (Palestine).”</w:t>
      </w:r>
    </w:p>
    <w:p w:rsidR="00872660" w:rsidRPr="00276249" w:rsidRDefault="00872660" w:rsidP="00A81904">
      <w:pPr>
        <w:pStyle w:val="Heading1"/>
        <w:jc w:val="both"/>
        <w:rPr>
          <w:rFonts w:cs="Arial"/>
        </w:rPr>
      </w:pPr>
      <w:r w:rsidRPr="00276249">
        <w:rPr>
          <w:rFonts w:cs="Arial"/>
        </w:rPr>
        <w:t>Ratification of Oxford-Wroclaw twinning agreement</w:t>
      </w:r>
    </w:p>
    <w:p w:rsidR="00D3295A" w:rsidRPr="00276249" w:rsidRDefault="00872660" w:rsidP="00D3295A">
      <w:pPr>
        <w:pStyle w:val="ListParagraph"/>
        <w:numPr>
          <w:ilvl w:val="0"/>
          <w:numId w:val="35"/>
        </w:numPr>
        <w:tabs>
          <w:tab w:val="clear" w:pos="426"/>
        </w:tabs>
        <w:ind w:left="426" w:hanging="426"/>
        <w:jc w:val="both"/>
        <w:rPr>
          <w:rFonts w:cs="Arial"/>
          <w:i/>
        </w:rPr>
      </w:pPr>
      <w:r w:rsidRPr="00276249">
        <w:rPr>
          <w:rFonts w:cs="Arial"/>
        </w:rPr>
        <w:t>Following visits to Oxford on 14 and 1</w:t>
      </w:r>
      <w:r w:rsidR="001C49B9" w:rsidRPr="00276249">
        <w:rPr>
          <w:rFonts w:cs="Arial"/>
        </w:rPr>
        <w:t xml:space="preserve">5 June 2018 by Wroclaw’s Mayor </w:t>
      </w:r>
      <w:r w:rsidRPr="00276249">
        <w:rPr>
          <w:rFonts w:cs="Arial"/>
        </w:rPr>
        <w:t xml:space="preserve">to discuss the nature of the twinning relationship between the two cities, a full </w:t>
      </w:r>
      <w:r w:rsidR="00232620" w:rsidRPr="00276249">
        <w:rPr>
          <w:rFonts w:cs="Arial"/>
        </w:rPr>
        <w:t>T</w:t>
      </w:r>
      <w:r w:rsidRPr="00276249">
        <w:rPr>
          <w:rFonts w:cs="Arial"/>
        </w:rPr>
        <w:t xml:space="preserve">win </w:t>
      </w:r>
      <w:r w:rsidR="00232620" w:rsidRPr="00276249">
        <w:rPr>
          <w:rFonts w:cs="Arial"/>
        </w:rPr>
        <w:t>C</w:t>
      </w:r>
      <w:r w:rsidRPr="00276249">
        <w:rPr>
          <w:rFonts w:cs="Arial"/>
        </w:rPr>
        <w:t>ity agreement between Oxford and Wroclaw was signed in Wroclaw on 3 October 2018</w:t>
      </w:r>
      <w:r w:rsidR="00232620" w:rsidRPr="00276249">
        <w:rPr>
          <w:rFonts w:cs="Arial"/>
        </w:rPr>
        <w:t xml:space="preserve"> by </w:t>
      </w:r>
      <w:r w:rsidR="00663AD1" w:rsidRPr="00276249">
        <w:rPr>
          <w:rFonts w:cs="Arial"/>
        </w:rPr>
        <w:t>Deputy Lord Mayor, Councillor Sajjad-Hussain Malik</w:t>
      </w:r>
      <w:r w:rsidRPr="00276249">
        <w:rPr>
          <w:rFonts w:cs="Arial"/>
        </w:rPr>
        <w:t xml:space="preserve">. </w:t>
      </w:r>
      <w:r w:rsidR="00D3295A" w:rsidRPr="00276249">
        <w:rPr>
          <w:rFonts w:cs="Arial"/>
        </w:rPr>
        <w:t>The signing of the agreement was fast-tracked owing to the political situation in Poland and their forthcoming Mayoral elections and therefore was not approved by the City Executive Board in advance.  The City Executive Board is requested to ratify the signed agreement to ensure due process.</w:t>
      </w:r>
    </w:p>
    <w:p w:rsidR="00872660" w:rsidRPr="00276249" w:rsidRDefault="00872660" w:rsidP="00A81904">
      <w:pPr>
        <w:pStyle w:val="Heading1"/>
        <w:jc w:val="both"/>
        <w:rPr>
          <w:rFonts w:cs="Arial"/>
        </w:rPr>
      </w:pPr>
      <w:r w:rsidRPr="00276249">
        <w:rPr>
          <w:rFonts w:cs="Arial"/>
        </w:rPr>
        <w:t>End</w:t>
      </w:r>
      <w:r w:rsidR="00B34C7D" w:rsidRPr="00276249">
        <w:rPr>
          <w:rFonts w:cs="Arial"/>
        </w:rPr>
        <w:t>orse</w:t>
      </w:r>
      <w:r w:rsidRPr="00276249">
        <w:rPr>
          <w:rFonts w:cs="Arial"/>
        </w:rPr>
        <w:t xml:space="preserve"> Oxford Polish Association as the</w:t>
      </w:r>
      <w:r w:rsidR="00B34C7D" w:rsidRPr="00276249">
        <w:rPr>
          <w:rFonts w:cs="Arial"/>
        </w:rPr>
        <w:t xml:space="preserve"> formal Link for the Oxford/Wroclaw twinning relationship </w:t>
      </w:r>
    </w:p>
    <w:p w:rsidR="00872660" w:rsidRPr="00276249" w:rsidRDefault="00872660" w:rsidP="00D6350D">
      <w:pPr>
        <w:pStyle w:val="ListParagraph"/>
        <w:numPr>
          <w:ilvl w:val="0"/>
          <w:numId w:val="0"/>
        </w:numPr>
        <w:tabs>
          <w:tab w:val="clear" w:pos="426"/>
        </w:tabs>
        <w:spacing w:after="240"/>
        <w:ind w:left="425" w:hanging="425"/>
        <w:jc w:val="both"/>
        <w:rPr>
          <w:rFonts w:cs="Arial"/>
        </w:rPr>
      </w:pPr>
      <w:r w:rsidRPr="00276249">
        <w:rPr>
          <w:rFonts w:cs="Arial"/>
        </w:rPr>
        <w:t xml:space="preserve">13. Each twin city has a corresponding volunteer Link which drives twinning activity in the Community and endorses funding applications made to Oxford International Links (OIL) for twinning activity with the twin city.  The Oxford Polish Association </w:t>
      </w:r>
      <w:r w:rsidR="00913BB6" w:rsidRPr="00276249">
        <w:rPr>
          <w:rFonts w:cs="Arial"/>
        </w:rPr>
        <w:t>has proposed that they become</w:t>
      </w:r>
      <w:r w:rsidRPr="00276249">
        <w:rPr>
          <w:rFonts w:cs="Arial"/>
        </w:rPr>
        <w:t xml:space="preserve"> </w:t>
      </w:r>
      <w:r w:rsidR="00525508" w:rsidRPr="00276249">
        <w:rPr>
          <w:rFonts w:cs="Arial"/>
        </w:rPr>
        <w:t xml:space="preserve">the </w:t>
      </w:r>
      <w:r w:rsidR="002E4107" w:rsidRPr="00276249">
        <w:rPr>
          <w:rFonts w:cs="Arial"/>
        </w:rPr>
        <w:t xml:space="preserve">formal </w:t>
      </w:r>
      <w:r w:rsidRPr="00276249">
        <w:rPr>
          <w:rFonts w:cs="Arial"/>
        </w:rPr>
        <w:t>voluntary group for the Wroclaw twinning arrangement.  Officers recommend this group as being the most appropriate one in Oxford to undertake this role.</w:t>
      </w:r>
    </w:p>
    <w:p w:rsidR="00872660" w:rsidRPr="00276249" w:rsidRDefault="00872660" w:rsidP="00A81904">
      <w:pPr>
        <w:pStyle w:val="ListParagraph"/>
        <w:numPr>
          <w:ilvl w:val="0"/>
          <w:numId w:val="0"/>
        </w:numPr>
        <w:tabs>
          <w:tab w:val="clear" w:pos="426"/>
        </w:tabs>
        <w:jc w:val="both"/>
        <w:rPr>
          <w:rFonts w:cs="Arial"/>
          <w:b/>
        </w:rPr>
      </w:pPr>
      <w:r w:rsidRPr="00276249">
        <w:rPr>
          <w:rFonts w:cs="Arial"/>
          <w:b/>
        </w:rPr>
        <w:t>Approving full</w:t>
      </w:r>
      <w:r w:rsidR="0070119B" w:rsidRPr="00276249">
        <w:rPr>
          <w:rFonts w:cs="Arial"/>
          <w:b/>
        </w:rPr>
        <w:t xml:space="preserve"> T</w:t>
      </w:r>
      <w:r w:rsidRPr="00276249">
        <w:rPr>
          <w:rFonts w:cs="Arial"/>
          <w:b/>
        </w:rPr>
        <w:t xml:space="preserve">win </w:t>
      </w:r>
      <w:r w:rsidR="0070119B" w:rsidRPr="00276249">
        <w:rPr>
          <w:rFonts w:cs="Arial"/>
          <w:b/>
        </w:rPr>
        <w:t>C</w:t>
      </w:r>
      <w:r w:rsidRPr="00276249">
        <w:rPr>
          <w:rFonts w:cs="Arial"/>
          <w:b/>
        </w:rPr>
        <w:t xml:space="preserve">ity status of Oxford and Ramallah </w:t>
      </w:r>
    </w:p>
    <w:p w:rsidR="006C7CCA" w:rsidRPr="00276249" w:rsidRDefault="00E63FC2" w:rsidP="00A81904">
      <w:pPr>
        <w:pStyle w:val="NormalWeb"/>
        <w:shd w:val="clear" w:color="auto" w:fill="FFFFFF"/>
        <w:spacing w:before="0" w:beforeAutospacing="0" w:after="0" w:afterAutospacing="0"/>
        <w:ind w:left="426" w:hanging="426"/>
        <w:jc w:val="both"/>
        <w:rPr>
          <w:rFonts w:ascii="Arial" w:hAnsi="Arial" w:cs="Arial"/>
          <w:color w:val="auto"/>
        </w:rPr>
      </w:pPr>
      <w:r w:rsidRPr="00276249">
        <w:rPr>
          <w:rFonts w:ascii="Arial" w:hAnsi="Arial" w:cs="Arial"/>
          <w:color w:val="auto"/>
        </w:rPr>
        <w:t>14. Whilst everyday life is very different, Ramallah and Oxford have similarities in terms of population</w:t>
      </w:r>
      <w:r w:rsidR="008D3B20" w:rsidRPr="00276249">
        <w:rPr>
          <w:rFonts w:ascii="Arial" w:hAnsi="Arial" w:cs="Arial"/>
          <w:color w:val="auto"/>
        </w:rPr>
        <w:t xml:space="preserve"> diversity</w:t>
      </w:r>
      <w:r w:rsidRPr="00276249">
        <w:rPr>
          <w:rFonts w:ascii="Arial" w:hAnsi="Arial" w:cs="Arial"/>
          <w:color w:val="auto"/>
        </w:rPr>
        <w:t xml:space="preserve">, universities, schools and hospitals, and many civil society </w:t>
      </w:r>
      <w:r w:rsidRPr="00276249">
        <w:rPr>
          <w:rFonts w:ascii="Arial" w:hAnsi="Arial" w:cs="Arial"/>
          <w:color w:val="auto"/>
        </w:rPr>
        <w:lastRenderedPageBreak/>
        <w:t>groups as well as commerce, trade unions and cultural ventures.</w:t>
      </w:r>
      <w:r w:rsidR="008D3B20" w:rsidRPr="00276249">
        <w:rPr>
          <w:rFonts w:ascii="Arial" w:hAnsi="Arial" w:cs="Arial"/>
          <w:color w:val="auto"/>
        </w:rPr>
        <w:t xml:space="preserve"> Additionally, </w:t>
      </w:r>
      <w:r w:rsidR="00CE4D72" w:rsidRPr="00276249">
        <w:rPr>
          <w:rFonts w:ascii="Arial" w:hAnsi="Arial" w:cs="Arial"/>
          <w:color w:val="auto"/>
          <w:lang w:val="en"/>
        </w:rPr>
        <w:t xml:space="preserve">a group of Oxford medics teach at </w:t>
      </w:r>
      <w:proofErr w:type="spellStart"/>
      <w:r w:rsidR="00CE4D72" w:rsidRPr="00276249">
        <w:rPr>
          <w:rFonts w:ascii="Arial" w:hAnsi="Arial" w:cs="Arial"/>
          <w:color w:val="auto"/>
          <w:lang w:val="en"/>
        </w:rPr>
        <w:t>Bir</w:t>
      </w:r>
      <w:proofErr w:type="spellEnd"/>
      <w:r w:rsidR="00CE4D72" w:rsidRPr="00276249">
        <w:rPr>
          <w:rFonts w:ascii="Arial" w:hAnsi="Arial" w:cs="Arial"/>
          <w:color w:val="auto"/>
          <w:lang w:val="en"/>
        </w:rPr>
        <w:t xml:space="preserve"> </w:t>
      </w:r>
      <w:proofErr w:type="spellStart"/>
      <w:r w:rsidR="00CE4D72" w:rsidRPr="00276249">
        <w:rPr>
          <w:rFonts w:ascii="Arial" w:hAnsi="Arial" w:cs="Arial"/>
          <w:color w:val="auto"/>
          <w:lang w:val="en"/>
        </w:rPr>
        <w:t>Zeit</w:t>
      </w:r>
      <w:proofErr w:type="spellEnd"/>
      <w:r w:rsidR="00CE4D72" w:rsidRPr="00276249">
        <w:rPr>
          <w:rFonts w:ascii="Arial" w:hAnsi="Arial" w:cs="Arial"/>
          <w:color w:val="auto"/>
          <w:lang w:val="en"/>
        </w:rPr>
        <w:t xml:space="preserve"> University, Ramallah, for a few weeks every year</w:t>
      </w:r>
      <w:r w:rsidR="008D3B20" w:rsidRPr="00276249">
        <w:rPr>
          <w:rFonts w:ascii="Arial" w:hAnsi="Arial" w:cs="Arial"/>
          <w:color w:val="auto"/>
          <w:lang w:val="en"/>
        </w:rPr>
        <w:t>.</w:t>
      </w:r>
    </w:p>
    <w:p w:rsidR="006C7CCA" w:rsidRPr="00276249" w:rsidRDefault="006C7CCA" w:rsidP="00A81904">
      <w:pPr>
        <w:pStyle w:val="NormalWeb"/>
        <w:shd w:val="clear" w:color="auto" w:fill="FFFFFF"/>
        <w:spacing w:before="0" w:beforeAutospacing="0" w:after="0" w:afterAutospacing="0"/>
        <w:ind w:left="426" w:hanging="426"/>
        <w:jc w:val="both"/>
        <w:rPr>
          <w:rFonts w:ascii="Arial" w:hAnsi="Arial" w:cs="Arial"/>
        </w:rPr>
      </w:pPr>
    </w:p>
    <w:p w:rsidR="006C7CCA" w:rsidRPr="00276249" w:rsidRDefault="006C7CCA" w:rsidP="00A81904">
      <w:pPr>
        <w:pStyle w:val="NormalWeb"/>
        <w:shd w:val="clear" w:color="auto" w:fill="FFFFFF"/>
        <w:spacing w:before="0" w:beforeAutospacing="0" w:after="0" w:afterAutospacing="0"/>
        <w:ind w:left="426" w:hanging="426"/>
        <w:jc w:val="both"/>
        <w:rPr>
          <w:rFonts w:ascii="Arial" w:eastAsia="Times New Roman" w:hAnsi="Arial" w:cs="Arial"/>
        </w:rPr>
      </w:pPr>
      <w:r w:rsidRPr="00276249">
        <w:rPr>
          <w:rFonts w:ascii="Arial" w:hAnsi="Arial" w:cs="Arial"/>
        </w:rPr>
        <w:t xml:space="preserve">15. </w:t>
      </w:r>
      <w:r w:rsidR="00E63FC2" w:rsidRPr="00276249">
        <w:rPr>
          <w:rFonts w:ascii="Arial" w:hAnsi="Arial" w:cs="Arial"/>
        </w:rPr>
        <w:t>The project of forming friendship links between Oxford a</w:t>
      </w:r>
      <w:r w:rsidR="00817FE5" w:rsidRPr="00276249">
        <w:rPr>
          <w:rFonts w:ascii="Arial" w:hAnsi="Arial" w:cs="Arial"/>
        </w:rPr>
        <w:t xml:space="preserve">nd Ramallah originated in </w:t>
      </w:r>
      <w:r w:rsidR="00E63FC2" w:rsidRPr="00276249">
        <w:rPr>
          <w:rFonts w:ascii="Arial" w:hAnsi="Arial" w:cs="Arial"/>
        </w:rPr>
        <w:t xml:space="preserve">2002. </w:t>
      </w:r>
      <w:r w:rsidR="00962B85" w:rsidRPr="00276249">
        <w:rPr>
          <w:rFonts w:ascii="Arial" w:hAnsi="Arial" w:cs="Arial"/>
        </w:rPr>
        <w:t xml:space="preserve"> </w:t>
      </w:r>
      <w:r w:rsidR="00E63FC2" w:rsidRPr="00276249">
        <w:rPr>
          <w:rFonts w:ascii="Arial" w:hAnsi="Arial" w:cs="Arial"/>
        </w:rPr>
        <w:t>Volunteer observers from Oxford</w:t>
      </w:r>
      <w:r w:rsidRPr="00276249">
        <w:rPr>
          <w:rFonts w:ascii="Arial" w:hAnsi="Arial" w:cs="Arial"/>
        </w:rPr>
        <w:t>,</w:t>
      </w:r>
      <w:r w:rsidR="00E63FC2" w:rsidRPr="00276249">
        <w:rPr>
          <w:rFonts w:ascii="Arial" w:hAnsi="Arial" w:cs="Arial"/>
        </w:rPr>
        <w:t xml:space="preserve"> who were in Ramallah at </w:t>
      </w:r>
      <w:r w:rsidRPr="00276249">
        <w:rPr>
          <w:rFonts w:ascii="Arial" w:hAnsi="Arial" w:cs="Arial"/>
        </w:rPr>
        <w:t xml:space="preserve">that </w:t>
      </w:r>
      <w:r w:rsidR="00E63FC2" w:rsidRPr="00276249">
        <w:rPr>
          <w:rFonts w:ascii="Arial" w:hAnsi="Arial" w:cs="Arial"/>
        </w:rPr>
        <w:t>time</w:t>
      </w:r>
      <w:r w:rsidRPr="00276249">
        <w:rPr>
          <w:rFonts w:ascii="Arial" w:hAnsi="Arial" w:cs="Arial"/>
        </w:rPr>
        <w:t>,</w:t>
      </w:r>
      <w:r w:rsidR="00E63FC2" w:rsidRPr="00276249">
        <w:rPr>
          <w:rFonts w:ascii="Arial" w:hAnsi="Arial" w:cs="Arial"/>
        </w:rPr>
        <w:t xml:space="preserve"> formed the Oxford Ramallah Friendship Association (ORFA)</w:t>
      </w:r>
      <w:r w:rsidRPr="00276249">
        <w:rPr>
          <w:rFonts w:ascii="Arial" w:hAnsi="Arial" w:cs="Arial"/>
        </w:rPr>
        <w:t xml:space="preserve"> – a </w:t>
      </w:r>
      <w:r w:rsidR="00E63FC2" w:rsidRPr="00276249">
        <w:rPr>
          <w:rFonts w:ascii="Arial" w:eastAsia="Times New Roman" w:hAnsi="Arial" w:cs="Arial"/>
        </w:rPr>
        <w:t>charity building grassroots links between civil society groups and individuals in Oxford in the UK and Ramallah in Palestine.</w:t>
      </w:r>
      <w:r w:rsidRPr="00276249">
        <w:rPr>
          <w:rFonts w:ascii="Arial" w:eastAsia="Times New Roman" w:hAnsi="Arial" w:cs="Arial"/>
        </w:rPr>
        <w:t xml:space="preserve"> </w:t>
      </w:r>
    </w:p>
    <w:p w:rsidR="006C7CCA" w:rsidRPr="00276249" w:rsidRDefault="006C7CCA" w:rsidP="00A81904">
      <w:pPr>
        <w:pStyle w:val="NormalWeb"/>
        <w:shd w:val="clear" w:color="auto" w:fill="FFFFFF"/>
        <w:spacing w:before="0" w:beforeAutospacing="0" w:after="0" w:afterAutospacing="0"/>
        <w:ind w:left="426" w:hanging="426"/>
        <w:jc w:val="both"/>
        <w:rPr>
          <w:rFonts w:ascii="Arial" w:eastAsia="Times New Roman" w:hAnsi="Arial" w:cs="Arial"/>
        </w:rPr>
      </w:pPr>
    </w:p>
    <w:p w:rsidR="00962B85" w:rsidRPr="00276249" w:rsidRDefault="006C7CCA" w:rsidP="00A81904">
      <w:pPr>
        <w:pStyle w:val="NormalWeb"/>
        <w:shd w:val="clear" w:color="auto" w:fill="FFFFFF"/>
        <w:spacing w:before="0" w:beforeAutospacing="0" w:after="0" w:afterAutospacing="0"/>
        <w:ind w:left="426" w:hanging="426"/>
        <w:jc w:val="both"/>
        <w:rPr>
          <w:rFonts w:ascii="Arial" w:hAnsi="Arial" w:cs="Arial"/>
        </w:rPr>
      </w:pPr>
      <w:r w:rsidRPr="00276249">
        <w:rPr>
          <w:rFonts w:ascii="Arial" w:eastAsia="Times New Roman" w:hAnsi="Arial" w:cs="Arial"/>
        </w:rPr>
        <w:t xml:space="preserve">16. </w:t>
      </w:r>
      <w:r w:rsidRPr="00276249">
        <w:rPr>
          <w:rFonts w:ascii="Arial" w:hAnsi="Arial" w:cs="Arial"/>
        </w:rPr>
        <w:t>The Oxford Ramallah Friendship Association approached Oxford City Council in 200</w:t>
      </w:r>
      <w:r w:rsidR="00D3295A" w:rsidRPr="00276249">
        <w:rPr>
          <w:rFonts w:ascii="Arial" w:hAnsi="Arial" w:cs="Arial"/>
        </w:rPr>
        <w:t>3 and requested that Oxford beco</w:t>
      </w:r>
      <w:r w:rsidRPr="00276249">
        <w:rPr>
          <w:rFonts w:ascii="Arial" w:hAnsi="Arial" w:cs="Arial"/>
        </w:rPr>
        <w:t xml:space="preserve">me officially twinned with Ramallah.  </w:t>
      </w:r>
      <w:r w:rsidR="00962B85" w:rsidRPr="00276249">
        <w:rPr>
          <w:rFonts w:ascii="Arial" w:hAnsi="Arial" w:cs="Arial"/>
        </w:rPr>
        <w:t xml:space="preserve">Members agreed that there should be </w:t>
      </w:r>
      <w:r w:rsidRPr="00276249">
        <w:rPr>
          <w:rFonts w:ascii="Arial" w:hAnsi="Arial" w:cs="Arial"/>
        </w:rPr>
        <w:t xml:space="preserve">initial visits over a number of years within which the actual activities between the two cities could be monitored and an assessment made of </w:t>
      </w:r>
      <w:r w:rsidR="00962B85" w:rsidRPr="00276249">
        <w:rPr>
          <w:rFonts w:ascii="Arial" w:hAnsi="Arial" w:cs="Arial"/>
        </w:rPr>
        <w:t>how successful a formal twinning relationship was likely to be</w:t>
      </w:r>
      <w:r w:rsidRPr="00276249">
        <w:rPr>
          <w:rFonts w:ascii="Arial" w:hAnsi="Arial" w:cs="Arial"/>
        </w:rPr>
        <w:t xml:space="preserve">. </w:t>
      </w:r>
    </w:p>
    <w:p w:rsidR="00962B85" w:rsidRPr="00276249" w:rsidRDefault="00962B85" w:rsidP="00A81904">
      <w:pPr>
        <w:pStyle w:val="NormalWeb"/>
        <w:shd w:val="clear" w:color="auto" w:fill="FFFFFF"/>
        <w:spacing w:before="0" w:beforeAutospacing="0" w:after="0" w:afterAutospacing="0"/>
        <w:ind w:left="426" w:hanging="426"/>
        <w:jc w:val="both"/>
        <w:rPr>
          <w:rFonts w:ascii="Arial" w:hAnsi="Arial" w:cs="Arial"/>
        </w:rPr>
      </w:pPr>
    </w:p>
    <w:p w:rsidR="003C0E85" w:rsidRPr="00276249" w:rsidRDefault="00962B85" w:rsidP="00A81904">
      <w:pPr>
        <w:pStyle w:val="NormalWeb"/>
        <w:shd w:val="clear" w:color="auto" w:fill="FFFFFF"/>
        <w:spacing w:before="0" w:beforeAutospacing="0" w:after="0" w:afterAutospacing="0"/>
        <w:ind w:left="426" w:hanging="426"/>
        <w:jc w:val="both"/>
        <w:rPr>
          <w:rFonts w:ascii="Arial" w:hAnsi="Arial" w:cs="Arial"/>
        </w:rPr>
      </w:pPr>
      <w:r w:rsidRPr="00276249">
        <w:rPr>
          <w:rFonts w:ascii="Arial" w:hAnsi="Arial" w:cs="Arial"/>
        </w:rPr>
        <w:t>17. Over the last 16 years, t</w:t>
      </w:r>
      <w:r w:rsidR="006C7CCA" w:rsidRPr="00276249">
        <w:rPr>
          <w:rFonts w:ascii="Arial" w:hAnsi="Arial" w:cs="Arial"/>
        </w:rPr>
        <w:t xml:space="preserve">he </w:t>
      </w:r>
      <w:r w:rsidRPr="00276249">
        <w:rPr>
          <w:rFonts w:ascii="Arial" w:hAnsi="Arial" w:cs="Arial"/>
        </w:rPr>
        <w:t xml:space="preserve">Oxford Ramallah Friendship Association </w:t>
      </w:r>
      <w:r w:rsidR="00E63FC2" w:rsidRPr="00276249">
        <w:rPr>
          <w:rFonts w:ascii="Arial" w:hAnsi="Arial" w:cs="Arial"/>
        </w:rPr>
        <w:t xml:space="preserve">has sent a number of delegations from Oxford to Ramallah to meet people with whom they have something in common, such as working in the same industry. </w:t>
      </w:r>
    </w:p>
    <w:p w:rsidR="001C49B9" w:rsidRPr="00276249" w:rsidRDefault="001C49B9" w:rsidP="001C49B9">
      <w:pPr>
        <w:pStyle w:val="NormalWeb"/>
        <w:shd w:val="clear" w:color="auto" w:fill="FFFFFF"/>
        <w:spacing w:before="0" w:beforeAutospacing="0" w:after="0" w:afterAutospacing="0"/>
        <w:jc w:val="both"/>
        <w:rPr>
          <w:rFonts w:ascii="Arial" w:hAnsi="Arial" w:cs="Arial"/>
        </w:rPr>
      </w:pPr>
    </w:p>
    <w:p w:rsidR="003C0E85" w:rsidRPr="00276249" w:rsidRDefault="003C0E85" w:rsidP="00D6350D">
      <w:pPr>
        <w:pStyle w:val="NormalWeb"/>
        <w:shd w:val="clear" w:color="auto" w:fill="FFFFFF"/>
        <w:spacing w:before="0" w:beforeAutospacing="0" w:after="240" w:afterAutospacing="0"/>
        <w:ind w:left="425" w:hanging="425"/>
        <w:jc w:val="both"/>
        <w:rPr>
          <w:rFonts w:ascii="Arial" w:hAnsi="Arial" w:cs="Arial"/>
        </w:rPr>
      </w:pPr>
      <w:r w:rsidRPr="00276249">
        <w:rPr>
          <w:rFonts w:ascii="Arial" w:hAnsi="Arial" w:cs="Arial"/>
        </w:rPr>
        <w:t xml:space="preserve">18. In </w:t>
      </w:r>
      <w:r w:rsidR="00CE4D72" w:rsidRPr="00276249">
        <w:rPr>
          <w:rFonts w:ascii="Arial" w:hAnsi="Arial" w:cs="Arial"/>
        </w:rPr>
        <w:t>2018, more than 600 people signed a petition on Change.org for Oxford to officially twin with Ramallah</w:t>
      </w:r>
      <w:r w:rsidR="00D3295A" w:rsidRPr="00276249">
        <w:rPr>
          <w:rFonts w:ascii="Arial" w:hAnsi="Arial" w:cs="Arial"/>
        </w:rPr>
        <w:t>. Following a motion agreed by C</w:t>
      </w:r>
      <w:r w:rsidR="001C49B9" w:rsidRPr="00276249">
        <w:rPr>
          <w:rFonts w:ascii="Arial" w:hAnsi="Arial" w:cs="Arial"/>
        </w:rPr>
        <w:t>ouncil a</w:t>
      </w:r>
      <w:r w:rsidR="00141586" w:rsidRPr="00276249">
        <w:rPr>
          <w:rFonts w:ascii="Arial" w:hAnsi="Arial" w:cs="Arial"/>
        </w:rPr>
        <w:t xml:space="preserve"> Memorandum of Understanding was signed with Ramallah on 17 December 2018.</w:t>
      </w:r>
    </w:p>
    <w:p w:rsidR="00872660" w:rsidRPr="00276249" w:rsidRDefault="00872660" w:rsidP="00A81904">
      <w:pPr>
        <w:pStyle w:val="ListParagraph"/>
        <w:numPr>
          <w:ilvl w:val="0"/>
          <w:numId w:val="0"/>
        </w:numPr>
        <w:tabs>
          <w:tab w:val="clear" w:pos="426"/>
        </w:tabs>
        <w:jc w:val="both"/>
        <w:rPr>
          <w:rFonts w:cs="Arial"/>
          <w:b/>
        </w:rPr>
      </w:pPr>
      <w:r w:rsidRPr="00276249">
        <w:rPr>
          <w:rFonts w:cs="Arial"/>
          <w:b/>
        </w:rPr>
        <w:t xml:space="preserve">Approving full twin city status of Oxford and </w:t>
      </w:r>
      <w:proofErr w:type="spellStart"/>
      <w:r w:rsidRPr="00276249">
        <w:rPr>
          <w:rFonts w:cs="Arial"/>
          <w:b/>
        </w:rPr>
        <w:t>Pad</w:t>
      </w:r>
      <w:r w:rsidR="00276249" w:rsidRPr="00276249">
        <w:rPr>
          <w:rFonts w:cs="Arial"/>
          <w:b/>
        </w:rPr>
        <w:t>ova</w:t>
      </w:r>
      <w:proofErr w:type="spellEnd"/>
    </w:p>
    <w:p w:rsidR="00E46ABF" w:rsidRDefault="00D12D57" w:rsidP="00783006">
      <w:pPr>
        <w:spacing w:after="0"/>
        <w:ind w:left="425" w:hanging="425"/>
        <w:jc w:val="both"/>
        <w:rPr>
          <w:rFonts w:cs="Arial"/>
        </w:rPr>
      </w:pPr>
      <w:r w:rsidRPr="00276249">
        <w:rPr>
          <w:rFonts w:cs="Arial"/>
        </w:rPr>
        <w:t>19.</w:t>
      </w:r>
      <w:r w:rsidRPr="00276249">
        <w:rPr>
          <w:rFonts w:cs="Arial"/>
        </w:rPr>
        <w:tab/>
      </w:r>
      <w:r w:rsidR="00E46ABF" w:rsidRPr="00276249">
        <w:rPr>
          <w:rFonts w:cs="Arial"/>
        </w:rPr>
        <w:t xml:space="preserve">In 2017, a delegation of Oxford academics from across </w:t>
      </w:r>
      <w:r w:rsidR="001D1A4C" w:rsidRPr="00276249">
        <w:rPr>
          <w:rFonts w:cs="Arial"/>
        </w:rPr>
        <w:t xml:space="preserve">the </w:t>
      </w:r>
      <w:r w:rsidR="00E46ABF" w:rsidRPr="00276249">
        <w:rPr>
          <w:rFonts w:cs="Arial"/>
        </w:rPr>
        <w:t xml:space="preserve">University </w:t>
      </w:r>
      <w:r w:rsidR="001D1A4C" w:rsidRPr="00276249">
        <w:rPr>
          <w:rFonts w:cs="Arial"/>
        </w:rPr>
        <w:t xml:space="preserve">of Oxford </w:t>
      </w:r>
      <w:r w:rsidR="00E46ABF" w:rsidRPr="00276249">
        <w:rPr>
          <w:rFonts w:cs="Arial"/>
        </w:rPr>
        <w:t xml:space="preserve">academic divisions visited </w:t>
      </w:r>
      <w:proofErr w:type="spellStart"/>
      <w:r w:rsidR="00E46ABF" w:rsidRPr="00276249">
        <w:rPr>
          <w:rFonts w:cs="Arial"/>
        </w:rPr>
        <w:t>Pad</w:t>
      </w:r>
      <w:r w:rsidR="00276249" w:rsidRPr="00276249">
        <w:rPr>
          <w:rFonts w:cs="Arial"/>
        </w:rPr>
        <w:t>ova</w:t>
      </w:r>
      <w:proofErr w:type="spellEnd"/>
      <w:r w:rsidR="00E46ABF" w:rsidRPr="00276249">
        <w:rPr>
          <w:rFonts w:cs="Arial"/>
        </w:rPr>
        <w:t xml:space="preserve"> to discuss ways in which Oxford and </w:t>
      </w:r>
      <w:proofErr w:type="spellStart"/>
      <w:r w:rsidR="00E46ABF" w:rsidRPr="00276249">
        <w:rPr>
          <w:rFonts w:cs="Arial"/>
        </w:rPr>
        <w:t>Pad</w:t>
      </w:r>
      <w:r w:rsidR="00276249" w:rsidRPr="00276249">
        <w:rPr>
          <w:rFonts w:cs="Arial"/>
        </w:rPr>
        <w:t>ova</w:t>
      </w:r>
      <w:proofErr w:type="spellEnd"/>
      <w:r w:rsidR="00E46ABF" w:rsidRPr="00276249">
        <w:rPr>
          <w:rFonts w:cs="Arial"/>
        </w:rPr>
        <w:t xml:space="preserve"> could collaborate on research projects.</w:t>
      </w:r>
      <w:r w:rsidR="001D1A4C" w:rsidRPr="00276249">
        <w:rPr>
          <w:rFonts w:cs="Arial"/>
        </w:rPr>
        <w:t xml:space="preserve"> Discussions were held between University officials and Oxford City Council Members as to the benefits of a parallel </w:t>
      </w:r>
      <w:r w:rsidR="00EC5FBF" w:rsidRPr="00276249">
        <w:rPr>
          <w:rFonts w:cs="Arial"/>
        </w:rPr>
        <w:t>t</w:t>
      </w:r>
      <w:r w:rsidR="001D1A4C" w:rsidRPr="00276249">
        <w:rPr>
          <w:rFonts w:cs="Arial"/>
        </w:rPr>
        <w:t>winning arrangement betwee</w:t>
      </w:r>
      <w:r w:rsidR="00276249" w:rsidRPr="00276249">
        <w:rPr>
          <w:rFonts w:cs="Arial"/>
        </w:rPr>
        <w:t xml:space="preserve">n the cities of Oxford and </w:t>
      </w:r>
      <w:proofErr w:type="spellStart"/>
      <w:r w:rsidR="00276249" w:rsidRPr="00276249">
        <w:rPr>
          <w:rFonts w:cs="Arial"/>
        </w:rPr>
        <w:t>Padova</w:t>
      </w:r>
      <w:proofErr w:type="spellEnd"/>
      <w:r w:rsidR="001D1A4C" w:rsidRPr="00276249">
        <w:rPr>
          <w:rFonts w:cs="Arial"/>
        </w:rPr>
        <w:t xml:space="preserve"> as well as University of Oxford and the University of </w:t>
      </w:r>
      <w:proofErr w:type="spellStart"/>
      <w:r w:rsidR="001D1A4C" w:rsidRPr="00276249">
        <w:rPr>
          <w:rFonts w:cs="Arial"/>
        </w:rPr>
        <w:t>Pad</w:t>
      </w:r>
      <w:r w:rsidR="00276249" w:rsidRPr="00276249">
        <w:rPr>
          <w:rFonts w:cs="Arial"/>
        </w:rPr>
        <w:t>ova</w:t>
      </w:r>
      <w:proofErr w:type="spellEnd"/>
      <w:r w:rsidR="001D1A4C" w:rsidRPr="00276249">
        <w:rPr>
          <w:rFonts w:cs="Arial"/>
        </w:rPr>
        <w:t>.</w:t>
      </w:r>
    </w:p>
    <w:p w:rsidR="00783006" w:rsidRPr="00276249" w:rsidRDefault="00783006" w:rsidP="00783006">
      <w:pPr>
        <w:spacing w:after="0"/>
        <w:ind w:left="425" w:hanging="425"/>
        <w:jc w:val="both"/>
        <w:rPr>
          <w:rFonts w:cs="Arial"/>
        </w:rPr>
      </w:pPr>
    </w:p>
    <w:p w:rsidR="00D12D57" w:rsidRDefault="00E46ABF" w:rsidP="00783006">
      <w:pPr>
        <w:spacing w:after="0"/>
        <w:ind w:left="425" w:hanging="425"/>
        <w:jc w:val="both"/>
        <w:rPr>
          <w:rFonts w:cs="Arial"/>
        </w:rPr>
      </w:pPr>
      <w:r w:rsidRPr="00276249">
        <w:rPr>
          <w:rFonts w:cs="Arial"/>
        </w:rPr>
        <w:t xml:space="preserve">20. </w:t>
      </w:r>
      <w:r w:rsidR="00D12D57" w:rsidRPr="00276249">
        <w:rPr>
          <w:rFonts w:cs="Arial"/>
        </w:rPr>
        <w:t xml:space="preserve">A Memorandum of Understanding was signed </w:t>
      </w:r>
      <w:r w:rsidR="001D1A4C" w:rsidRPr="00276249">
        <w:rPr>
          <w:rFonts w:cs="Arial"/>
        </w:rPr>
        <w:t xml:space="preserve">by the Lord Mayor </w:t>
      </w:r>
      <w:r w:rsidR="00D12D57" w:rsidRPr="00276249">
        <w:rPr>
          <w:rFonts w:cs="Arial"/>
        </w:rPr>
        <w:t xml:space="preserve">with </w:t>
      </w:r>
      <w:proofErr w:type="spellStart"/>
      <w:r w:rsidR="00D12D57" w:rsidRPr="00276249">
        <w:rPr>
          <w:rFonts w:cs="Arial"/>
        </w:rPr>
        <w:t>Pad</w:t>
      </w:r>
      <w:r w:rsidR="00276249" w:rsidRPr="00276249">
        <w:rPr>
          <w:rFonts w:cs="Arial"/>
        </w:rPr>
        <w:t>ova</w:t>
      </w:r>
      <w:proofErr w:type="spellEnd"/>
      <w:r w:rsidR="00D12D57" w:rsidRPr="00276249">
        <w:rPr>
          <w:rFonts w:cs="Arial"/>
        </w:rPr>
        <w:t xml:space="preserve"> on 9 </w:t>
      </w:r>
      <w:r w:rsidR="00F76519" w:rsidRPr="00276249">
        <w:rPr>
          <w:rFonts w:cs="Arial"/>
        </w:rPr>
        <w:t xml:space="preserve">May 2018 and the Motion passed by Members as noted at </w:t>
      </w:r>
      <w:r w:rsidR="0070119B" w:rsidRPr="00276249">
        <w:rPr>
          <w:rFonts w:cs="Arial"/>
        </w:rPr>
        <w:t xml:space="preserve">paragraph </w:t>
      </w:r>
      <w:r w:rsidR="00F76519" w:rsidRPr="00276249">
        <w:rPr>
          <w:rFonts w:cs="Arial"/>
        </w:rPr>
        <w:t xml:space="preserve">11. </w:t>
      </w:r>
    </w:p>
    <w:p w:rsidR="00783006" w:rsidRPr="00276249" w:rsidRDefault="00783006" w:rsidP="00783006">
      <w:pPr>
        <w:spacing w:after="0"/>
        <w:ind w:left="425" w:hanging="425"/>
        <w:jc w:val="both"/>
        <w:rPr>
          <w:rFonts w:cs="Arial"/>
        </w:rPr>
      </w:pPr>
    </w:p>
    <w:p w:rsidR="00F76519" w:rsidRDefault="00E46ABF" w:rsidP="00783006">
      <w:pPr>
        <w:spacing w:after="0"/>
        <w:ind w:left="425" w:hanging="425"/>
        <w:jc w:val="both"/>
        <w:rPr>
          <w:rFonts w:cs="Arial"/>
        </w:rPr>
      </w:pPr>
      <w:r w:rsidRPr="00276249">
        <w:rPr>
          <w:rFonts w:cs="Arial"/>
        </w:rPr>
        <w:t>21</w:t>
      </w:r>
      <w:r w:rsidR="00F76519" w:rsidRPr="00276249">
        <w:rPr>
          <w:rFonts w:cs="Arial"/>
        </w:rPr>
        <w:t xml:space="preserve">. The University of Oxford’s Gardens, Libraries and Museums (GLAM) Directorate, headed by Pro-Vice-Chancellor Professor Anne </w:t>
      </w:r>
      <w:proofErr w:type="spellStart"/>
      <w:r w:rsidR="00F76519" w:rsidRPr="00276249">
        <w:rPr>
          <w:rFonts w:cs="Arial"/>
        </w:rPr>
        <w:t>Trefethen</w:t>
      </w:r>
      <w:proofErr w:type="spellEnd"/>
      <w:r w:rsidR="00F76519" w:rsidRPr="00276249">
        <w:rPr>
          <w:rFonts w:cs="Arial"/>
        </w:rPr>
        <w:t xml:space="preserve"> is hosting a delegation of acade</w:t>
      </w:r>
      <w:r w:rsidR="00276249" w:rsidRPr="00276249">
        <w:rPr>
          <w:rFonts w:cs="Arial"/>
        </w:rPr>
        <w:t xml:space="preserve">mics from the University of </w:t>
      </w:r>
      <w:proofErr w:type="spellStart"/>
      <w:r w:rsidR="00276249" w:rsidRPr="00276249">
        <w:rPr>
          <w:rFonts w:cs="Arial"/>
        </w:rPr>
        <w:t>Padova</w:t>
      </w:r>
      <w:proofErr w:type="spellEnd"/>
      <w:r w:rsidR="00F76519" w:rsidRPr="00276249">
        <w:rPr>
          <w:rFonts w:cs="Arial"/>
        </w:rPr>
        <w:t xml:space="preserve">, on </w:t>
      </w:r>
      <w:r w:rsidR="00754C62" w:rsidRPr="00276249">
        <w:rPr>
          <w:rFonts w:cs="Arial"/>
        </w:rPr>
        <w:t xml:space="preserve">14 and 15 </w:t>
      </w:r>
      <w:r w:rsidR="00F76519" w:rsidRPr="00276249">
        <w:rPr>
          <w:rFonts w:cs="Arial"/>
        </w:rPr>
        <w:t>March 2019 in Oxford. The event will celebrate the signing of a Memorandum of Understanding (MoU) between GLAM and thei</w:t>
      </w:r>
      <w:r w:rsidR="00276249" w:rsidRPr="00276249">
        <w:rPr>
          <w:rFonts w:cs="Arial"/>
        </w:rPr>
        <w:t xml:space="preserve">r equivalent University of </w:t>
      </w:r>
      <w:proofErr w:type="spellStart"/>
      <w:r w:rsidR="00276249" w:rsidRPr="00276249">
        <w:rPr>
          <w:rFonts w:cs="Arial"/>
        </w:rPr>
        <w:t>Padova</w:t>
      </w:r>
      <w:proofErr w:type="spellEnd"/>
      <w:r w:rsidR="00F76519" w:rsidRPr="00276249">
        <w:rPr>
          <w:rFonts w:cs="Arial"/>
        </w:rPr>
        <w:t xml:space="preserve"> division, CAM. </w:t>
      </w:r>
    </w:p>
    <w:p w:rsidR="00783006" w:rsidRPr="00276249" w:rsidRDefault="00783006" w:rsidP="00783006">
      <w:pPr>
        <w:spacing w:after="0"/>
        <w:ind w:left="425" w:hanging="425"/>
        <w:jc w:val="both"/>
        <w:rPr>
          <w:rFonts w:cs="Arial"/>
        </w:rPr>
      </w:pPr>
    </w:p>
    <w:p w:rsidR="00FE3238" w:rsidRDefault="00FE3238" w:rsidP="00783006">
      <w:pPr>
        <w:spacing w:after="0"/>
        <w:ind w:left="425" w:hanging="425"/>
        <w:jc w:val="both"/>
        <w:rPr>
          <w:rFonts w:cs="Arial"/>
        </w:rPr>
      </w:pPr>
      <w:r w:rsidRPr="00276249">
        <w:rPr>
          <w:rFonts w:cs="Arial"/>
        </w:rPr>
        <w:t>22.</w:t>
      </w:r>
      <w:r w:rsidRPr="00276249">
        <w:rPr>
          <w:rFonts w:cs="Arial"/>
        </w:rPr>
        <w:tab/>
        <w:t>Whilst there are benefits of a parallel twin</w:t>
      </w:r>
      <w:r w:rsidR="00CE6589" w:rsidRPr="00276249">
        <w:rPr>
          <w:rFonts w:cs="Arial"/>
        </w:rPr>
        <w:t>n</w:t>
      </w:r>
      <w:r w:rsidRPr="00276249">
        <w:rPr>
          <w:rFonts w:cs="Arial"/>
        </w:rPr>
        <w:t>ing arrangement, it is expected that the wording of the f</w:t>
      </w:r>
      <w:r w:rsidR="00276249" w:rsidRPr="00276249">
        <w:rPr>
          <w:rFonts w:cs="Arial"/>
        </w:rPr>
        <w:t xml:space="preserve">ull twinning agreement with </w:t>
      </w:r>
      <w:proofErr w:type="spellStart"/>
      <w:r w:rsidR="00276249" w:rsidRPr="00276249">
        <w:rPr>
          <w:rFonts w:cs="Arial"/>
        </w:rPr>
        <w:t>Padova</w:t>
      </w:r>
      <w:proofErr w:type="spellEnd"/>
      <w:r w:rsidRPr="00276249">
        <w:rPr>
          <w:rFonts w:cs="Arial"/>
        </w:rPr>
        <w:t xml:space="preserve"> will reflect the University-led nature of this proposition and limit the resources </w:t>
      </w:r>
      <w:r w:rsidR="00C60DC4" w:rsidRPr="00276249">
        <w:rPr>
          <w:rFonts w:cs="Arial"/>
        </w:rPr>
        <w:t xml:space="preserve">expended </w:t>
      </w:r>
      <w:r w:rsidRPr="00276249">
        <w:rPr>
          <w:rFonts w:cs="Arial"/>
        </w:rPr>
        <w:t>by Oxford City Council accordingly</w:t>
      </w:r>
      <w:r w:rsidR="00D5754E" w:rsidRPr="00276249">
        <w:rPr>
          <w:rFonts w:cs="Arial"/>
        </w:rPr>
        <w:t>.</w:t>
      </w:r>
    </w:p>
    <w:p w:rsidR="00783006" w:rsidRPr="00276249" w:rsidRDefault="00783006" w:rsidP="00783006">
      <w:pPr>
        <w:spacing w:after="0"/>
        <w:ind w:left="425" w:hanging="425"/>
        <w:jc w:val="both"/>
        <w:rPr>
          <w:rFonts w:cs="Arial"/>
        </w:rPr>
      </w:pPr>
    </w:p>
    <w:p w:rsidR="004C675B" w:rsidRDefault="001C2666" w:rsidP="00D6350D">
      <w:pPr>
        <w:spacing w:after="240"/>
        <w:ind w:left="425" w:hanging="425"/>
        <w:jc w:val="both"/>
        <w:rPr>
          <w:rFonts w:cs="Arial"/>
        </w:rPr>
      </w:pPr>
      <w:r w:rsidRPr="00276249">
        <w:rPr>
          <w:rFonts w:cs="Arial"/>
        </w:rPr>
        <w:t>23.</w:t>
      </w:r>
      <w:r w:rsidR="001C49B9" w:rsidRPr="00276249">
        <w:rPr>
          <w:rFonts w:cs="Arial"/>
        </w:rPr>
        <w:tab/>
        <w:t>As a commitment has been given</w:t>
      </w:r>
      <w:r w:rsidRPr="00276249">
        <w:rPr>
          <w:rFonts w:cs="Arial"/>
        </w:rPr>
        <w:t xml:space="preserve"> Officers are now proposing that an agreement is negotiated and signed on this basis</w:t>
      </w:r>
      <w:r w:rsidR="00D6350D" w:rsidRPr="00276249">
        <w:rPr>
          <w:rFonts w:cs="Arial"/>
        </w:rPr>
        <w:t>.</w:t>
      </w:r>
    </w:p>
    <w:p w:rsidR="00783006" w:rsidRPr="00276249" w:rsidRDefault="00783006" w:rsidP="00D6350D">
      <w:pPr>
        <w:spacing w:after="240"/>
        <w:ind w:left="425" w:hanging="425"/>
        <w:jc w:val="both"/>
        <w:rPr>
          <w:rFonts w:cs="Arial"/>
        </w:rPr>
      </w:pPr>
    </w:p>
    <w:p w:rsidR="004C675B" w:rsidRPr="00276249" w:rsidRDefault="00C63811" w:rsidP="00D6350D">
      <w:pPr>
        <w:pStyle w:val="ListParagraph"/>
        <w:numPr>
          <w:ilvl w:val="0"/>
          <w:numId w:val="0"/>
        </w:numPr>
        <w:tabs>
          <w:tab w:val="clear" w:pos="426"/>
        </w:tabs>
        <w:spacing w:before="120"/>
        <w:ind w:left="425" w:hanging="425"/>
        <w:jc w:val="both"/>
        <w:rPr>
          <w:rFonts w:cs="Arial"/>
        </w:rPr>
      </w:pPr>
      <w:r w:rsidRPr="00276249">
        <w:rPr>
          <w:rFonts w:cs="Arial"/>
          <w:b/>
        </w:rPr>
        <w:lastRenderedPageBreak/>
        <w:t>Budget allocation</w:t>
      </w:r>
    </w:p>
    <w:p w:rsidR="00B356C5" w:rsidRPr="00276249" w:rsidRDefault="0060659A" w:rsidP="00D6350D">
      <w:pPr>
        <w:spacing w:after="0"/>
        <w:ind w:left="425" w:hanging="425"/>
        <w:jc w:val="both"/>
        <w:rPr>
          <w:rFonts w:cs="Arial"/>
        </w:rPr>
      </w:pPr>
      <w:r w:rsidRPr="00276249">
        <w:rPr>
          <w:rFonts w:cs="Arial"/>
          <w:color w:val="auto"/>
        </w:rPr>
        <w:t>24.</w:t>
      </w:r>
      <w:r w:rsidR="001C49B9" w:rsidRPr="00276249">
        <w:rPr>
          <w:rFonts w:cs="Arial"/>
          <w:color w:val="auto"/>
        </w:rPr>
        <w:t xml:space="preserve"> A</w:t>
      </w:r>
      <w:r w:rsidR="001048F9" w:rsidRPr="00276249">
        <w:rPr>
          <w:rFonts w:cs="Arial"/>
          <w:color w:val="auto"/>
        </w:rPr>
        <w:t>n additional £23</w:t>
      </w:r>
      <w:r w:rsidR="001C49B9" w:rsidRPr="00276249">
        <w:rPr>
          <w:rFonts w:cs="Arial"/>
          <w:color w:val="auto"/>
        </w:rPr>
        <w:t>,000</w:t>
      </w:r>
      <w:r w:rsidR="001048F9" w:rsidRPr="00276249">
        <w:rPr>
          <w:rFonts w:cs="Arial"/>
          <w:color w:val="auto"/>
        </w:rPr>
        <w:t xml:space="preserve"> has been included in the baseline budget for 2019-20</w:t>
      </w:r>
      <w:r w:rsidR="00817FE5" w:rsidRPr="00276249">
        <w:rPr>
          <w:rFonts w:cs="Arial"/>
          <w:color w:val="auto"/>
        </w:rPr>
        <w:t>, reducing</w:t>
      </w:r>
      <w:r w:rsidR="001C49B9" w:rsidRPr="00276249">
        <w:rPr>
          <w:rFonts w:cs="Arial"/>
          <w:color w:val="auto"/>
        </w:rPr>
        <w:t xml:space="preserve"> to £17,000</w:t>
      </w:r>
      <w:r w:rsidR="001048F9" w:rsidRPr="00276249">
        <w:rPr>
          <w:rFonts w:cs="Arial"/>
          <w:color w:val="auto"/>
        </w:rPr>
        <w:t xml:space="preserve"> in the budget for future years. </w:t>
      </w:r>
      <w:r w:rsidR="00DC4BAF" w:rsidRPr="00276249">
        <w:rPr>
          <w:rFonts w:cs="Arial"/>
          <w:color w:val="auto"/>
        </w:rPr>
        <w:t xml:space="preserve">Officers propose to spend the additional ongoing funding on </w:t>
      </w:r>
      <w:r w:rsidR="00D6350D" w:rsidRPr="00276249">
        <w:rPr>
          <w:rFonts w:cs="Arial"/>
          <w:color w:val="auto"/>
        </w:rPr>
        <w:t xml:space="preserve">a </w:t>
      </w:r>
      <w:r w:rsidR="004E3EE9" w:rsidRPr="00276249">
        <w:rPr>
          <w:rFonts w:cs="Arial"/>
          <w:color w:val="auto"/>
        </w:rPr>
        <w:t xml:space="preserve">contribution towards </w:t>
      </w:r>
      <w:r w:rsidR="00DC4BAF" w:rsidRPr="00276249">
        <w:rPr>
          <w:rFonts w:cs="Arial"/>
          <w:color w:val="auto"/>
        </w:rPr>
        <w:t xml:space="preserve">a full time </w:t>
      </w:r>
      <w:r w:rsidR="00EC5FBF" w:rsidRPr="00276249">
        <w:rPr>
          <w:rFonts w:cs="Arial"/>
          <w:color w:val="auto"/>
        </w:rPr>
        <w:t>t</w:t>
      </w:r>
      <w:r w:rsidR="00DC4BAF" w:rsidRPr="00276249">
        <w:rPr>
          <w:rFonts w:cs="Arial"/>
          <w:color w:val="auto"/>
        </w:rPr>
        <w:t xml:space="preserve">winning </w:t>
      </w:r>
      <w:r w:rsidR="00EC5FBF" w:rsidRPr="00276249">
        <w:rPr>
          <w:rFonts w:cs="Arial"/>
          <w:color w:val="auto"/>
        </w:rPr>
        <w:t>o</w:t>
      </w:r>
      <w:r w:rsidR="00DC4BAF" w:rsidRPr="00276249">
        <w:rPr>
          <w:rFonts w:cs="Arial"/>
          <w:color w:val="auto"/>
        </w:rPr>
        <w:t>fficer post</w:t>
      </w:r>
      <w:r w:rsidR="00B343EF" w:rsidRPr="00276249">
        <w:rPr>
          <w:rFonts w:cs="Arial"/>
          <w:color w:val="auto"/>
        </w:rPr>
        <w:t xml:space="preserve"> to effectively resource the additional international links.</w:t>
      </w:r>
      <w:r w:rsidR="001C49B9" w:rsidRPr="00276249">
        <w:rPr>
          <w:rFonts w:cs="Arial"/>
          <w:color w:val="auto"/>
        </w:rPr>
        <w:t xml:space="preserve"> </w:t>
      </w:r>
      <w:r w:rsidR="00B343EF" w:rsidRPr="00276249">
        <w:rPr>
          <w:rFonts w:cs="Arial"/>
          <w:color w:val="auto"/>
        </w:rPr>
        <w:t>It is proposed that t</w:t>
      </w:r>
      <w:r w:rsidR="00DC4BAF" w:rsidRPr="00276249">
        <w:rPr>
          <w:rFonts w:cs="Arial"/>
          <w:color w:val="auto"/>
        </w:rPr>
        <w:t xml:space="preserve">he remainder of the additional budget </w:t>
      </w:r>
      <w:r w:rsidR="001C49B9" w:rsidRPr="00276249">
        <w:rPr>
          <w:rFonts w:cs="Arial"/>
          <w:color w:val="auto"/>
        </w:rPr>
        <w:t xml:space="preserve">would be </w:t>
      </w:r>
      <w:r w:rsidR="001C1931" w:rsidRPr="00276249">
        <w:rPr>
          <w:rFonts w:cs="Arial"/>
          <w:color w:val="auto"/>
        </w:rPr>
        <w:t xml:space="preserve">managed by the twinning officer and </w:t>
      </w:r>
      <w:r w:rsidR="00DC4BAF" w:rsidRPr="00276249">
        <w:rPr>
          <w:rFonts w:cs="Arial"/>
          <w:color w:val="auto"/>
        </w:rPr>
        <w:t xml:space="preserve">spent on </w:t>
      </w:r>
      <w:r w:rsidR="00DC4BAF" w:rsidRPr="00276249">
        <w:rPr>
          <w:rFonts w:cs="Arial"/>
        </w:rPr>
        <w:t>larger twinning events or those of strategic significance for Oxford City Council including launch events, anniversaries a</w:t>
      </w:r>
      <w:r w:rsidR="001C49B9" w:rsidRPr="00276249">
        <w:rPr>
          <w:rFonts w:cs="Arial"/>
        </w:rPr>
        <w:t xml:space="preserve">nd inter-twin city activities. </w:t>
      </w:r>
      <w:r w:rsidR="00DC4BAF" w:rsidRPr="00276249">
        <w:rPr>
          <w:rFonts w:cs="Arial"/>
        </w:rPr>
        <w:t xml:space="preserve">The </w:t>
      </w:r>
      <w:r w:rsidR="001C49B9" w:rsidRPr="00276249">
        <w:rPr>
          <w:rFonts w:cs="Arial"/>
        </w:rPr>
        <w:t xml:space="preserve">additional amount for </w:t>
      </w:r>
      <w:r w:rsidR="00DC4BAF" w:rsidRPr="00276249">
        <w:rPr>
          <w:rFonts w:cs="Arial"/>
        </w:rPr>
        <w:t xml:space="preserve">2019-20 </w:t>
      </w:r>
      <w:r w:rsidR="001C49B9" w:rsidRPr="00276249">
        <w:rPr>
          <w:rFonts w:cs="Arial"/>
        </w:rPr>
        <w:t xml:space="preserve">is </w:t>
      </w:r>
      <w:r w:rsidR="00DC4BAF" w:rsidRPr="00276249">
        <w:rPr>
          <w:rFonts w:cs="Arial"/>
        </w:rPr>
        <w:t>needed to pay for extending the signage to incorporate the new twin city names.</w:t>
      </w:r>
    </w:p>
    <w:p w:rsidR="00711DF9" w:rsidRPr="00276249" w:rsidRDefault="00711DF9" w:rsidP="00D6350D">
      <w:pPr>
        <w:pStyle w:val="ListParagraph"/>
        <w:numPr>
          <w:ilvl w:val="0"/>
          <w:numId w:val="0"/>
        </w:numPr>
        <w:tabs>
          <w:tab w:val="clear" w:pos="426"/>
        </w:tabs>
        <w:spacing w:after="0"/>
        <w:jc w:val="both"/>
        <w:rPr>
          <w:rFonts w:cs="Arial"/>
        </w:rPr>
      </w:pPr>
    </w:p>
    <w:p w:rsidR="00821895" w:rsidRPr="00276249" w:rsidRDefault="00821895" w:rsidP="00A81904">
      <w:pPr>
        <w:pStyle w:val="ListParagraph"/>
        <w:numPr>
          <w:ilvl w:val="0"/>
          <w:numId w:val="0"/>
        </w:numPr>
        <w:ind w:left="426" w:hanging="426"/>
        <w:jc w:val="both"/>
        <w:rPr>
          <w:rFonts w:cs="Arial"/>
          <w:b/>
        </w:rPr>
      </w:pPr>
      <w:r w:rsidRPr="00276249">
        <w:rPr>
          <w:rFonts w:cs="Arial"/>
          <w:b/>
        </w:rPr>
        <w:t>The process and criteria for selecting future Twin Cities</w:t>
      </w:r>
    </w:p>
    <w:p w:rsidR="00A514E5" w:rsidRDefault="00203ACB" w:rsidP="00783006">
      <w:pPr>
        <w:pStyle w:val="ListParagraph"/>
        <w:numPr>
          <w:ilvl w:val="0"/>
          <w:numId w:val="0"/>
        </w:numPr>
        <w:tabs>
          <w:tab w:val="clear" w:pos="426"/>
        </w:tabs>
        <w:spacing w:after="0"/>
        <w:ind w:left="425" w:hanging="425"/>
        <w:jc w:val="both"/>
        <w:rPr>
          <w:rFonts w:cs="Arial"/>
        </w:rPr>
      </w:pPr>
      <w:r w:rsidRPr="00276249">
        <w:rPr>
          <w:rFonts w:cs="Arial"/>
        </w:rPr>
        <w:t>25.</w:t>
      </w:r>
      <w:r w:rsidRPr="00276249">
        <w:rPr>
          <w:rFonts w:cs="Arial"/>
        </w:rPr>
        <w:tab/>
      </w:r>
      <w:r w:rsidR="00203840" w:rsidRPr="00276249">
        <w:rPr>
          <w:rFonts w:cs="Arial"/>
        </w:rPr>
        <w:t>London has ten twin</w:t>
      </w:r>
      <w:r w:rsidR="001C49B9" w:rsidRPr="00276249">
        <w:rPr>
          <w:rFonts w:cs="Arial"/>
        </w:rPr>
        <w:t xml:space="preserve"> cities and Cambridge has two. </w:t>
      </w:r>
      <w:r w:rsidR="00203840" w:rsidRPr="00276249">
        <w:rPr>
          <w:rFonts w:cs="Arial"/>
        </w:rPr>
        <w:t xml:space="preserve">Given that Oxford is likely to   have eight imminently, </w:t>
      </w:r>
      <w:r w:rsidR="00D3295A" w:rsidRPr="00276249">
        <w:rPr>
          <w:rFonts w:cs="Arial"/>
        </w:rPr>
        <w:t xml:space="preserve">it is </w:t>
      </w:r>
      <w:r w:rsidR="00203840" w:rsidRPr="00276249">
        <w:rPr>
          <w:rFonts w:cs="Arial"/>
        </w:rPr>
        <w:t>recognise</w:t>
      </w:r>
      <w:r w:rsidR="00D3295A" w:rsidRPr="00276249">
        <w:rPr>
          <w:rFonts w:cs="Arial"/>
        </w:rPr>
        <w:t>d</w:t>
      </w:r>
      <w:r w:rsidR="00203840" w:rsidRPr="00276249">
        <w:rPr>
          <w:rFonts w:cs="Arial"/>
        </w:rPr>
        <w:t xml:space="preserve"> that the portfolio is significant and it is </w:t>
      </w:r>
      <w:r w:rsidR="001C49B9" w:rsidRPr="00276249">
        <w:rPr>
          <w:rFonts w:cs="Arial"/>
        </w:rPr>
        <w:t xml:space="preserve">not advisable to add any </w:t>
      </w:r>
      <w:r w:rsidR="00203840" w:rsidRPr="00276249">
        <w:rPr>
          <w:rFonts w:cs="Arial"/>
        </w:rPr>
        <w:t>further twin cities in the near future</w:t>
      </w:r>
      <w:r w:rsidR="00CC5352" w:rsidRPr="00276249">
        <w:rPr>
          <w:rFonts w:cs="Arial"/>
        </w:rPr>
        <w:t>, at least until the new arrangements have bedded in.</w:t>
      </w:r>
    </w:p>
    <w:p w:rsidR="00783006" w:rsidRPr="00276249" w:rsidRDefault="00783006" w:rsidP="00783006">
      <w:pPr>
        <w:pStyle w:val="ListParagraph"/>
        <w:numPr>
          <w:ilvl w:val="0"/>
          <w:numId w:val="0"/>
        </w:numPr>
        <w:tabs>
          <w:tab w:val="clear" w:pos="426"/>
        </w:tabs>
        <w:spacing w:after="0"/>
        <w:ind w:left="425" w:hanging="425"/>
        <w:jc w:val="both"/>
        <w:rPr>
          <w:rFonts w:cs="Arial"/>
        </w:rPr>
      </w:pPr>
    </w:p>
    <w:p w:rsidR="00821895" w:rsidRPr="00276249" w:rsidRDefault="00203ACB" w:rsidP="00A81904">
      <w:pPr>
        <w:pStyle w:val="ListParagraph"/>
        <w:numPr>
          <w:ilvl w:val="0"/>
          <w:numId w:val="0"/>
        </w:numPr>
        <w:tabs>
          <w:tab w:val="clear" w:pos="426"/>
        </w:tabs>
        <w:ind w:left="426" w:hanging="426"/>
        <w:jc w:val="both"/>
        <w:rPr>
          <w:rFonts w:cs="Arial"/>
        </w:rPr>
      </w:pPr>
      <w:r w:rsidRPr="00276249">
        <w:rPr>
          <w:rFonts w:cs="Arial"/>
        </w:rPr>
        <w:t>26.</w:t>
      </w:r>
      <w:r w:rsidRPr="00276249">
        <w:rPr>
          <w:rFonts w:cs="Arial"/>
        </w:rPr>
        <w:tab/>
      </w:r>
      <w:r w:rsidR="00203840" w:rsidRPr="00276249">
        <w:rPr>
          <w:rFonts w:cs="Arial"/>
        </w:rPr>
        <w:t xml:space="preserve">Nevertheless, Officers recommend that any additional </w:t>
      </w:r>
      <w:r w:rsidR="00CC5352" w:rsidRPr="00276249">
        <w:rPr>
          <w:rFonts w:cs="Arial"/>
        </w:rPr>
        <w:t>international</w:t>
      </w:r>
      <w:r w:rsidR="00203840" w:rsidRPr="00276249">
        <w:rPr>
          <w:rFonts w:cs="Arial"/>
        </w:rPr>
        <w:t xml:space="preserve"> requests are considered on the following basis:</w:t>
      </w:r>
    </w:p>
    <w:p w:rsidR="00182A7C" w:rsidRPr="00276249" w:rsidRDefault="00182A7C" w:rsidP="00A81904">
      <w:pPr>
        <w:pStyle w:val="ListParagraph"/>
        <w:numPr>
          <w:ilvl w:val="0"/>
          <w:numId w:val="40"/>
        </w:numPr>
        <w:tabs>
          <w:tab w:val="clear" w:pos="426"/>
        </w:tabs>
        <w:spacing w:after="0"/>
        <w:ind w:right="-46"/>
        <w:contextualSpacing/>
        <w:jc w:val="both"/>
        <w:rPr>
          <w:rFonts w:cs="Arial"/>
        </w:rPr>
      </w:pPr>
      <w:r w:rsidRPr="00276249">
        <w:rPr>
          <w:rFonts w:cs="Arial"/>
        </w:rPr>
        <w:t>The proposed twin c</w:t>
      </w:r>
      <w:r w:rsidR="00203840" w:rsidRPr="00276249">
        <w:rPr>
          <w:rFonts w:cs="Arial"/>
        </w:rPr>
        <w:t xml:space="preserve">ity </w:t>
      </w:r>
      <w:r w:rsidRPr="00276249">
        <w:rPr>
          <w:rFonts w:cs="Arial"/>
        </w:rPr>
        <w:t xml:space="preserve">has </w:t>
      </w:r>
      <w:r w:rsidR="00203840" w:rsidRPr="00276249">
        <w:rPr>
          <w:rFonts w:cs="Arial"/>
        </w:rPr>
        <w:t>a University of international renown that already has links with Oxford</w:t>
      </w:r>
    </w:p>
    <w:p w:rsidR="00182A7C" w:rsidRPr="00276249" w:rsidRDefault="00182A7C" w:rsidP="00A81904">
      <w:pPr>
        <w:pStyle w:val="ListParagraph"/>
        <w:numPr>
          <w:ilvl w:val="0"/>
          <w:numId w:val="40"/>
        </w:numPr>
        <w:tabs>
          <w:tab w:val="clear" w:pos="426"/>
        </w:tabs>
        <w:spacing w:after="0"/>
        <w:ind w:right="-46"/>
        <w:contextualSpacing/>
        <w:jc w:val="both"/>
        <w:rPr>
          <w:rFonts w:cs="Arial"/>
        </w:rPr>
      </w:pPr>
      <w:r w:rsidRPr="00276249">
        <w:rPr>
          <w:rFonts w:cs="Arial"/>
        </w:rPr>
        <w:t>The proposed twin city is committed to immutable principles of individual liberty, democracy, respect for Human Rights and equality under the law</w:t>
      </w:r>
    </w:p>
    <w:p w:rsidR="00182A7C" w:rsidRPr="00276249" w:rsidRDefault="00182A7C" w:rsidP="00A81904">
      <w:pPr>
        <w:pStyle w:val="ListParagraph"/>
        <w:numPr>
          <w:ilvl w:val="0"/>
          <w:numId w:val="40"/>
        </w:numPr>
        <w:tabs>
          <w:tab w:val="clear" w:pos="426"/>
        </w:tabs>
        <w:spacing w:after="0"/>
        <w:ind w:right="-46"/>
        <w:contextualSpacing/>
        <w:jc w:val="both"/>
        <w:rPr>
          <w:rFonts w:cs="Arial"/>
        </w:rPr>
      </w:pPr>
      <w:r w:rsidRPr="00276249">
        <w:rPr>
          <w:rFonts w:cs="Arial"/>
        </w:rPr>
        <w:t>A suitable voluntary link group is available to drive ongoing activity with the twin city</w:t>
      </w:r>
    </w:p>
    <w:p w:rsidR="00B82156" w:rsidRPr="00276249" w:rsidRDefault="00182A7C" w:rsidP="00A81904">
      <w:pPr>
        <w:numPr>
          <w:ilvl w:val="0"/>
          <w:numId w:val="40"/>
        </w:numPr>
        <w:spacing w:after="100" w:afterAutospacing="1"/>
        <w:ind w:right="-46"/>
        <w:jc w:val="both"/>
        <w:rPr>
          <w:rFonts w:cs="Arial"/>
        </w:rPr>
      </w:pPr>
      <w:r w:rsidRPr="00276249">
        <w:rPr>
          <w:rFonts w:cs="Arial"/>
        </w:rPr>
        <w:t xml:space="preserve">There should be an agreed period during which a Friendship Agreement would be </w:t>
      </w:r>
      <w:r w:rsidR="00D3295A" w:rsidRPr="00276249">
        <w:rPr>
          <w:rFonts w:cs="Arial"/>
        </w:rPr>
        <w:t xml:space="preserve">entered into </w:t>
      </w:r>
      <w:r w:rsidRPr="00276249">
        <w:rPr>
          <w:rFonts w:cs="Arial"/>
        </w:rPr>
        <w:t xml:space="preserve">to monitor the link’s ability to deliver sustainable activity in the longer term prior to signing a full twinning agreement </w:t>
      </w:r>
    </w:p>
    <w:p w:rsidR="00203840" w:rsidRPr="00276249" w:rsidRDefault="004C675B" w:rsidP="00A81904">
      <w:pPr>
        <w:numPr>
          <w:ilvl w:val="0"/>
          <w:numId w:val="40"/>
        </w:numPr>
        <w:spacing w:after="100" w:afterAutospacing="1"/>
        <w:ind w:right="-46"/>
        <w:jc w:val="both"/>
        <w:rPr>
          <w:rFonts w:cs="Arial"/>
        </w:rPr>
      </w:pPr>
      <w:r w:rsidRPr="00276249">
        <w:rPr>
          <w:rFonts w:cs="Arial"/>
        </w:rPr>
        <w:t>Th</w:t>
      </w:r>
      <w:r w:rsidR="00A514E5" w:rsidRPr="00276249">
        <w:rPr>
          <w:rFonts w:cs="Arial"/>
        </w:rPr>
        <w:t xml:space="preserve">e decision </w:t>
      </w:r>
      <w:r w:rsidRPr="00276249">
        <w:rPr>
          <w:rFonts w:cs="Arial"/>
        </w:rPr>
        <w:t xml:space="preserve">will need to be reviewed alongside the resource implication and only signed once a </w:t>
      </w:r>
      <w:r w:rsidR="003C639E" w:rsidRPr="00276249">
        <w:rPr>
          <w:rFonts w:cs="Arial"/>
        </w:rPr>
        <w:t xml:space="preserve">budget is in place and </w:t>
      </w:r>
      <w:r w:rsidR="00A514E5" w:rsidRPr="00276249">
        <w:rPr>
          <w:rFonts w:cs="Arial"/>
        </w:rPr>
        <w:t>the</w:t>
      </w:r>
      <w:r w:rsidR="00B82156" w:rsidRPr="00276249">
        <w:rPr>
          <w:rFonts w:cs="Arial"/>
        </w:rPr>
        <w:t xml:space="preserve"> </w:t>
      </w:r>
      <w:r w:rsidR="00A514E5" w:rsidRPr="00276249">
        <w:rPr>
          <w:rFonts w:cs="Arial"/>
        </w:rPr>
        <w:t>C</w:t>
      </w:r>
      <w:r w:rsidR="00D3295A" w:rsidRPr="00276249">
        <w:rPr>
          <w:rFonts w:cs="Arial"/>
        </w:rPr>
        <w:t xml:space="preserve">ity Executive </w:t>
      </w:r>
      <w:r w:rsidR="00A514E5" w:rsidRPr="00276249">
        <w:rPr>
          <w:rFonts w:cs="Arial"/>
        </w:rPr>
        <w:t>B</w:t>
      </w:r>
      <w:r w:rsidR="00D3295A" w:rsidRPr="00276249">
        <w:rPr>
          <w:rFonts w:cs="Arial"/>
        </w:rPr>
        <w:t>oard</w:t>
      </w:r>
      <w:r w:rsidR="00A514E5" w:rsidRPr="00276249">
        <w:rPr>
          <w:rFonts w:cs="Arial"/>
        </w:rPr>
        <w:t xml:space="preserve"> has taken the decision</w:t>
      </w:r>
      <w:r w:rsidRPr="00276249">
        <w:rPr>
          <w:rFonts w:cs="Arial"/>
        </w:rPr>
        <w:t>.</w:t>
      </w:r>
    </w:p>
    <w:p w:rsidR="0040736F" w:rsidRPr="00276249" w:rsidRDefault="00DA614B" w:rsidP="00A81904">
      <w:pPr>
        <w:pStyle w:val="Heading1"/>
        <w:jc w:val="both"/>
        <w:rPr>
          <w:rFonts w:cs="Arial"/>
        </w:rPr>
      </w:pPr>
      <w:r w:rsidRPr="00276249">
        <w:rPr>
          <w:rFonts w:cs="Arial"/>
        </w:rPr>
        <w:t>Legal issues</w:t>
      </w:r>
    </w:p>
    <w:p w:rsidR="00D3295A" w:rsidRDefault="00203ACB" w:rsidP="00783006">
      <w:pPr>
        <w:spacing w:after="0"/>
        <w:ind w:left="426" w:hanging="426"/>
        <w:jc w:val="both"/>
        <w:rPr>
          <w:rFonts w:cs="Arial"/>
        </w:rPr>
      </w:pPr>
      <w:r w:rsidRPr="00276249">
        <w:rPr>
          <w:rFonts w:cs="Arial"/>
        </w:rPr>
        <w:t>27.</w:t>
      </w:r>
      <w:r w:rsidRPr="00276249">
        <w:rPr>
          <w:rFonts w:cs="Arial"/>
        </w:rPr>
        <w:tab/>
      </w:r>
      <w:r w:rsidR="00D3295A" w:rsidRPr="00276249">
        <w:rPr>
          <w:rFonts w:cs="Arial"/>
        </w:rPr>
        <w:t xml:space="preserve">As there are no express statutory provisions or regulations underpinning and governing the process of international town or city twinning, it is usual for the many such twinning agreements in existence to be primarily aspirational in tone, rather than creating firm obligations on either party. Under the proposed draft, either party would be able to terminate the arrangement by giving 12 months’ notice. </w:t>
      </w:r>
    </w:p>
    <w:p w:rsidR="00783006" w:rsidRPr="00276249" w:rsidRDefault="00783006" w:rsidP="00783006">
      <w:pPr>
        <w:spacing w:after="0"/>
        <w:ind w:left="426" w:hanging="426"/>
        <w:jc w:val="both"/>
        <w:rPr>
          <w:rFonts w:cs="Arial"/>
        </w:rPr>
      </w:pPr>
    </w:p>
    <w:p w:rsidR="00D3295A" w:rsidRPr="00276249" w:rsidRDefault="00D3295A" w:rsidP="00783006">
      <w:pPr>
        <w:spacing w:after="240"/>
        <w:ind w:left="425" w:hanging="425"/>
        <w:jc w:val="both"/>
        <w:rPr>
          <w:rFonts w:cs="Arial"/>
        </w:rPr>
      </w:pPr>
      <w:r w:rsidRPr="00276249">
        <w:rPr>
          <w:rFonts w:cs="Arial"/>
        </w:rPr>
        <w:t>28.</w:t>
      </w:r>
      <w:r w:rsidRPr="00276249">
        <w:rPr>
          <w:rFonts w:cs="Arial"/>
        </w:rPr>
        <w:tab/>
        <w:t xml:space="preserve">In entering into its twinning agreements the Council relies on the general power of competence set out in </w:t>
      </w:r>
      <w:proofErr w:type="gramStart"/>
      <w:r w:rsidRPr="00276249">
        <w:rPr>
          <w:rFonts w:cs="Arial"/>
        </w:rPr>
        <w:t>S1(</w:t>
      </w:r>
      <w:proofErr w:type="gramEnd"/>
      <w:r w:rsidRPr="00276249">
        <w:rPr>
          <w:rFonts w:cs="Arial"/>
        </w:rPr>
        <w:t>1) of the Localism Act 2011 whereby a local authority has power to do anything that individuals generally may do and</w:t>
      </w:r>
      <w:r w:rsidRPr="00276249">
        <w:rPr>
          <w:rFonts w:eastAsiaTheme="minorEastAsia" w:cs="Arial"/>
        </w:rPr>
        <w:t xml:space="preserve"> </w:t>
      </w:r>
      <w:r w:rsidRPr="00276249">
        <w:rPr>
          <w:rFonts w:cs="Arial"/>
        </w:rPr>
        <w:t>power to do it for, the benefit of the authority, its area or persons resident or present in its area.</w:t>
      </w:r>
    </w:p>
    <w:p w:rsidR="00CC5352" w:rsidRPr="00276249" w:rsidRDefault="00CC5352" w:rsidP="00A81904">
      <w:pPr>
        <w:ind w:left="426" w:hanging="426"/>
        <w:jc w:val="both"/>
        <w:rPr>
          <w:rFonts w:cs="Arial"/>
          <w:b/>
        </w:rPr>
      </w:pPr>
      <w:r w:rsidRPr="00276249">
        <w:rPr>
          <w:rFonts w:cs="Arial"/>
          <w:b/>
        </w:rPr>
        <w:t>Financial Implications</w:t>
      </w:r>
    </w:p>
    <w:p w:rsidR="00CC5352" w:rsidRPr="00276249" w:rsidRDefault="00D3295A" w:rsidP="00A81904">
      <w:pPr>
        <w:ind w:left="426" w:hanging="426"/>
        <w:jc w:val="both"/>
        <w:rPr>
          <w:rFonts w:cs="Arial"/>
        </w:rPr>
      </w:pPr>
      <w:r w:rsidRPr="00276249">
        <w:rPr>
          <w:rFonts w:cs="Arial"/>
        </w:rPr>
        <w:t>29.</w:t>
      </w:r>
      <w:r w:rsidR="005C66E9" w:rsidRPr="00276249">
        <w:rPr>
          <w:rFonts w:cs="Arial"/>
        </w:rPr>
        <w:t xml:space="preserve"> </w:t>
      </w:r>
      <w:r w:rsidR="0087594D" w:rsidRPr="00276249">
        <w:rPr>
          <w:rFonts w:cs="Arial"/>
        </w:rPr>
        <w:t>In signing up to international links there is an expectation that events and reciprocal events will take place. Continental European cities tend to have larger budget comm</w:t>
      </w:r>
      <w:r w:rsidR="00817FE5" w:rsidRPr="00276249">
        <w:rPr>
          <w:rFonts w:cs="Arial"/>
        </w:rPr>
        <w:t>itments to such links than the City Council.  The C</w:t>
      </w:r>
      <w:r w:rsidR="0087594D" w:rsidRPr="00276249">
        <w:rPr>
          <w:rFonts w:cs="Arial"/>
        </w:rPr>
        <w:t xml:space="preserve">ity </w:t>
      </w:r>
      <w:r w:rsidR="00817FE5" w:rsidRPr="00276249">
        <w:rPr>
          <w:rFonts w:cs="Arial"/>
        </w:rPr>
        <w:t>C</w:t>
      </w:r>
      <w:r w:rsidR="0087594D" w:rsidRPr="00276249">
        <w:rPr>
          <w:rFonts w:cs="Arial"/>
        </w:rPr>
        <w:t xml:space="preserve">ouncil reduces costs </w:t>
      </w:r>
      <w:r w:rsidR="00EB600F" w:rsidRPr="00276249">
        <w:rPr>
          <w:rFonts w:cs="Arial"/>
        </w:rPr>
        <w:t xml:space="preserve">to </w:t>
      </w:r>
      <w:r w:rsidR="00EB600F" w:rsidRPr="00276249">
        <w:rPr>
          <w:rFonts w:cs="Arial"/>
        </w:rPr>
        <w:lastRenderedPageBreak/>
        <w:t xml:space="preserve">modest levels </w:t>
      </w:r>
      <w:r w:rsidR="0087594D" w:rsidRPr="00276249">
        <w:rPr>
          <w:rFonts w:cs="Arial"/>
        </w:rPr>
        <w:t xml:space="preserve">by </w:t>
      </w:r>
      <w:r w:rsidR="00EB600F" w:rsidRPr="00276249">
        <w:rPr>
          <w:rFonts w:cs="Arial"/>
        </w:rPr>
        <w:t>expecting individuals not on official business to fund their own travel and subsistence. Nevertheless, there are costs associated with international links that have to be met and it important that these are fully reflected in decisions to form new links</w:t>
      </w:r>
      <w:r w:rsidR="0035143E" w:rsidRPr="00276249">
        <w:rPr>
          <w:rFonts w:cs="Arial"/>
        </w:rPr>
        <w:t>.</w:t>
      </w:r>
    </w:p>
    <w:p w:rsidR="002329CF" w:rsidRPr="00276249" w:rsidRDefault="002329CF" w:rsidP="00A81904">
      <w:pPr>
        <w:pStyle w:val="Heading1"/>
        <w:jc w:val="both"/>
        <w:rPr>
          <w:rFonts w:cs="Arial"/>
        </w:rPr>
      </w:pPr>
      <w:r w:rsidRPr="00276249">
        <w:rPr>
          <w:rFonts w:cs="Arial"/>
        </w:rPr>
        <w:t>Level of risk</w:t>
      </w:r>
      <w:r w:rsidR="004340FD" w:rsidRPr="00276249">
        <w:rPr>
          <w:rFonts w:cs="Arial"/>
        </w:rPr>
        <w:t xml:space="preserve"> </w:t>
      </w:r>
    </w:p>
    <w:p w:rsidR="00516E43" w:rsidRDefault="00D3295A" w:rsidP="00783006">
      <w:pPr>
        <w:spacing w:after="0"/>
        <w:ind w:left="425" w:hanging="425"/>
        <w:jc w:val="both"/>
        <w:rPr>
          <w:rFonts w:cs="Arial"/>
        </w:rPr>
      </w:pPr>
      <w:r w:rsidRPr="00276249">
        <w:rPr>
          <w:rFonts w:cs="Arial"/>
        </w:rPr>
        <w:t>30</w:t>
      </w:r>
      <w:r w:rsidR="00203ACB" w:rsidRPr="00276249">
        <w:rPr>
          <w:rFonts w:cs="Arial"/>
        </w:rPr>
        <w:t>.</w:t>
      </w:r>
      <w:r w:rsidR="00203ACB" w:rsidRPr="00276249">
        <w:rPr>
          <w:rFonts w:cs="Arial"/>
        </w:rPr>
        <w:tab/>
      </w:r>
      <w:r w:rsidR="009D7AA3" w:rsidRPr="00276249">
        <w:rPr>
          <w:rFonts w:cs="Arial"/>
        </w:rPr>
        <w:t>There is a risk when twinning with another city that the political values of that city may change over time and not fit with the values of Oxford City Council.  Legal agreements for new twin cities will include wording to mitigate this risk.</w:t>
      </w:r>
      <w:r w:rsidR="00516E43" w:rsidRPr="00276249">
        <w:rPr>
          <w:rFonts w:cs="Arial"/>
        </w:rPr>
        <w:t xml:space="preserve"> </w:t>
      </w:r>
    </w:p>
    <w:p w:rsidR="00783006" w:rsidRPr="00276249" w:rsidRDefault="00783006" w:rsidP="00783006">
      <w:pPr>
        <w:spacing w:after="0"/>
        <w:ind w:left="425" w:hanging="425"/>
        <w:jc w:val="both"/>
        <w:rPr>
          <w:rFonts w:cs="Arial"/>
        </w:rPr>
      </w:pPr>
    </w:p>
    <w:p w:rsidR="004D6DC0" w:rsidRDefault="00D3295A" w:rsidP="00783006">
      <w:pPr>
        <w:spacing w:after="0"/>
        <w:ind w:left="425" w:hanging="425"/>
        <w:jc w:val="both"/>
        <w:rPr>
          <w:rFonts w:cs="Arial"/>
        </w:rPr>
      </w:pPr>
      <w:r w:rsidRPr="00276249">
        <w:rPr>
          <w:rFonts w:cs="Arial"/>
        </w:rPr>
        <w:t>31</w:t>
      </w:r>
      <w:r w:rsidR="00203ACB" w:rsidRPr="00276249">
        <w:rPr>
          <w:rFonts w:cs="Arial"/>
        </w:rPr>
        <w:t>.</w:t>
      </w:r>
      <w:r w:rsidR="00203ACB" w:rsidRPr="00276249">
        <w:rPr>
          <w:rFonts w:cs="Arial"/>
        </w:rPr>
        <w:tab/>
      </w:r>
      <w:r w:rsidR="00516E43" w:rsidRPr="00276249">
        <w:rPr>
          <w:rFonts w:cs="Arial"/>
        </w:rPr>
        <w:t xml:space="preserve">Unequal resourcing of the twin city link between the two twin cities carries a reputational risk which will be mitigated by managing expectations </w:t>
      </w:r>
      <w:r w:rsidR="00EB600F" w:rsidRPr="00276249">
        <w:rPr>
          <w:rFonts w:cs="Arial"/>
        </w:rPr>
        <w:t xml:space="preserve">early and </w:t>
      </w:r>
      <w:r w:rsidR="00516E43" w:rsidRPr="00276249">
        <w:rPr>
          <w:rFonts w:cs="Arial"/>
        </w:rPr>
        <w:t>clearly</w:t>
      </w:r>
      <w:r w:rsidR="00A514E5" w:rsidRPr="00276249">
        <w:rPr>
          <w:rFonts w:cs="Arial"/>
        </w:rPr>
        <w:t>.</w:t>
      </w:r>
    </w:p>
    <w:p w:rsidR="00783006" w:rsidRPr="00276249" w:rsidRDefault="00783006" w:rsidP="00783006">
      <w:pPr>
        <w:spacing w:after="0"/>
        <w:ind w:left="425" w:hanging="425"/>
        <w:jc w:val="both"/>
        <w:rPr>
          <w:rFonts w:cs="Arial"/>
        </w:rPr>
      </w:pPr>
    </w:p>
    <w:p w:rsidR="00516E43" w:rsidRPr="00276249" w:rsidRDefault="00203ACB" w:rsidP="00783006">
      <w:pPr>
        <w:spacing w:after="0"/>
        <w:ind w:left="425" w:hanging="425"/>
        <w:jc w:val="both"/>
        <w:rPr>
          <w:rFonts w:cs="Arial"/>
        </w:rPr>
      </w:pPr>
      <w:r w:rsidRPr="00276249">
        <w:rPr>
          <w:rFonts w:cs="Arial"/>
        </w:rPr>
        <w:t>3</w:t>
      </w:r>
      <w:r w:rsidR="00D3295A" w:rsidRPr="00276249">
        <w:rPr>
          <w:rFonts w:cs="Arial"/>
        </w:rPr>
        <w:t>2</w:t>
      </w:r>
      <w:r w:rsidRPr="00276249">
        <w:rPr>
          <w:rFonts w:cs="Arial"/>
        </w:rPr>
        <w:t>.</w:t>
      </w:r>
      <w:r w:rsidRPr="00276249">
        <w:rPr>
          <w:rFonts w:cs="Arial"/>
        </w:rPr>
        <w:tab/>
      </w:r>
      <w:r w:rsidR="00516E43" w:rsidRPr="00276249">
        <w:rPr>
          <w:rFonts w:cs="Arial"/>
        </w:rPr>
        <w:t xml:space="preserve">Adding three new twin cities during a short space of time runs a risk of creating </w:t>
      </w:r>
      <w:r w:rsidR="001C1931" w:rsidRPr="00276249">
        <w:rPr>
          <w:rFonts w:cs="Arial"/>
        </w:rPr>
        <w:t xml:space="preserve">competition </w:t>
      </w:r>
      <w:r w:rsidR="00D3097F" w:rsidRPr="00276249">
        <w:rPr>
          <w:rFonts w:cs="Arial"/>
        </w:rPr>
        <w:t xml:space="preserve">for attention </w:t>
      </w:r>
      <w:r w:rsidR="0098262B" w:rsidRPr="00276249">
        <w:rPr>
          <w:rFonts w:cs="Arial"/>
        </w:rPr>
        <w:t xml:space="preserve">and funds </w:t>
      </w:r>
      <w:r w:rsidR="00D3097F" w:rsidRPr="00276249">
        <w:rPr>
          <w:rFonts w:cs="Arial"/>
        </w:rPr>
        <w:t>between these links which will all have the same anniversary dates;</w:t>
      </w:r>
      <w:r w:rsidR="00516E43" w:rsidRPr="00276249">
        <w:rPr>
          <w:rFonts w:cs="Arial"/>
        </w:rPr>
        <w:t xml:space="preserve"> this will be mitigated by</w:t>
      </w:r>
      <w:r w:rsidR="002E6019" w:rsidRPr="00276249">
        <w:rPr>
          <w:rFonts w:cs="Arial"/>
        </w:rPr>
        <w:t xml:space="preserve"> providing sufficient staffing capacity, </w:t>
      </w:r>
      <w:r w:rsidR="00916FFD" w:rsidRPr="00276249">
        <w:rPr>
          <w:rFonts w:cs="Arial"/>
        </w:rPr>
        <w:t xml:space="preserve">allocating funding according to set criteria and </w:t>
      </w:r>
      <w:r w:rsidR="00516E43" w:rsidRPr="00276249">
        <w:rPr>
          <w:rFonts w:cs="Arial"/>
        </w:rPr>
        <w:t xml:space="preserve">involving all the links in plans for launch </w:t>
      </w:r>
      <w:r w:rsidR="001C66C6" w:rsidRPr="00276249">
        <w:rPr>
          <w:rFonts w:cs="Arial"/>
        </w:rPr>
        <w:t xml:space="preserve">and anniversary </w:t>
      </w:r>
      <w:r w:rsidR="00516E43" w:rsidRPr="00276249">
        <w:rPr>
          <w:rFonts w:cs="Arial"/>
        </w:rPr>
        <w:t>activity</w:t>
      </w:r>
      <w:r w:rsidR="001C66C6" w:rsidRPr="00276249">
        <w:rPr>
          <w:rFonts w:cs="Arial"/>
        </w:rPr>
        <w:t>.</w:t>
      </w:r>
    </w:p>
    <w:p w:rsidR="002329CF" w:rsidRPr="00276249" w:rsidRDefault="002329CF" w:rsidP="00A81904">
      <w:pPr>
        <w:pStyle w:val="Heading1"/>
        <w:jc w:val="both"/>
        <w:rPr>
          <w:rFonts w:cs="Arial"/>
        </w:rPr>
      </w:pPr>
      <w:r w:rsidRPr="00276249">
        <w:rPr>
          <w:rFonts w:cs="Arial"/>
        </w:rPr>
        <w:t xml:space="preserve">Equalities impact </w:t>
      </w:r>
    </w:p>
    <w:p w:rsidR="002329CF" w:rsidRPr="00276249" w:rsidRDefault="00D3295A" w:rsidP="002A02C8">
      <w:pPr>
        <w:ind w:left="426" w:hanging="360"/>
        <w:jc w:val="both"/>
        <w:rPr>
          <w:rFonts w:cs="Arial"/>
        </w:rPr>
      </w:pPr>
      <w:r w:rsidRPr="00276249">
        <w:rPr>
          <w:rFonts w:cs="Arial"/>
        </w:rPr>
        <w:t>33</w:t>
      </w:r>
      <w:r w:rsidR="005C66E9" w:rsidRPr="00276249">
        <w:rPr>
          <w:rFonts w:cs="Arial"/>
        </w:rPr>
        <w:t xml:space="preserve">. </w:t>
      </w:r>
      <w:r w:rsidR="004D6DC0" w:rsidRPr="00276249">
        <w:rPr>
          <w:rFonts w:cs="Arial"/>
        </w:rPr>
        <w:t xml:space="preserve">See the attached </w:t>
      </w:r>
      <w:r w:rsidR="0093067A" w:rsidRPr="00276249">
        <w:rPr>
          <w:rFonts w:cs="Arial"/>
        </w:rPr>
        <w:t>Equalities Impact Assessment</w:t>
      </w:r>
      <w:r w:rsidR="00AE4963" w:rsidRPr="00276249">
        <w:rPr>
          <w:rFonts w:cs="Arial"/>
        </w:rPr>
        <w:t xml:space="preserve"> Screening form</w:t>
      </w:r>
      <w:r w:rsidR="004D6DC0" w:rsidRPr="00276249">
        <w:rPr>
          <w:rFonts w:cs="Arial"/>
        </w:rPr>
        <w:t>.</w:t>
      </w:r>
    </w:p>
    <w:p w:rsidR="00D6350D" w:rsidRPr="00276249" w:rsidRDefault="00D6350D" w:rsidP="002A02C8">
      <w:pPr>
        <w:ind w:left="426" w:hanging="360"/>
        <w:jc w:val="both"/>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276249"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276249" w:rsidRDefault="00E87F7A" w:rsidP="00A81904">
            <w:pPr>
              <w:jc w:val="both"/>
              <w:rPr>
                <w:rFonts w:cs="Arial"/>
                <w:b/>
              </w:rPr>
            </w:pPr>
            <w:r w:rsidRPr="00276249">
              <w:rPr>
                <w:rFonts w:cs="Arial"/>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276249" w:rsidRDefault="004C0C64" w:rsidP="00BE009C">
            <w:pPr>
              <w:jc w:val="both"/>
              <w:rPr>
                <w:rFonts w:cs="Arial"/>
              </w:rPr>
            </w:pPr>
            <w:r w:rsidRPr="00276249">
              <w:rPr>
                <w:rFonts w:cs="Arial"/>
              </w:rPr>
              <w:t xml:space="preserve">Paula </w:t>
            </w:r>
            <w:proofErr w:type="spellStart"/>
            <w:r w:rsidR="00EA7207" w:rsidRPr="00276249">
              <w:rPr>
                <w:rFonts w:cs="Arial"/>
              </w:rPr>
              <w:t>R</w:t>
            </w:r>
            <w:r w:rsidR="00BE009C" w:rsidRPr="00276249">
              <w:rPr>
                <w:rFonts w:cs="Arial"/>
              </w:rPr>
              <w:t>edway</w:t>
            </w:r>
            <w:proofErr w:type="spellEnd"/>
            <w:r w:rsidR="004340FD" w:rsidRPr="00276249">
              <w:rPr>
                <w:rFonts w:cs="Arial"/>
              </w:rPr>
              <w:t xml:space="preserve"> </w:t>
            </w:r>
          </w:p>
        </w:tc>
      </w:tr>
      <w:tr w:rsidR="00DF093E" w:rsidRPr="00276249"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276249" w:rsidRDefault="00E87F7A" w:rsidP="00A81904">
            <w:pPr>
              <w:jc w:val="both"/>
              <w:rPr>
                <w:rFonts w:cs="Arial"/>
              </w:rPr>
            </w:pPr>
            <w:r w:rsidRPr="00276249">
              <w:rPr>
                <w:rFonts w:cs="Arial"/>
              </w:rPr>
              <w:t>Job title</w:t>
            </w:r>
          </w:p>
        </w:tc>
        <w:tc>
          <w:tcPr>
            <w:tcW w:w="4962" w:type="dxa"/>
            <w:tcBorders>
              <w:top w:val="single" w:sz="8" w:space="0" w:color="000000"/>
              <w:left w:val="nil"/>
              <w:bottom w:val="nil"/>
              <w:right w:val="single" w:sz="8" w:space="0" w:color="000000"/>
            </w:tcBorders>
            <w:shd w:val="clear" w:color="auto" w:fill="auto"/>
          </w:tcPr>
          <w:p w:rsidR="00E87F7A" w:rsidRPr="00276249" w:rsidRDefault="004C0C64" w:rsidP="00A81904">
            <w:pPr>
              <w:jc w:val="both"/>
              <w:rPr>
                <w:rFonts w:cs="Arial"/>
              </w:rPr>
            </w:pPr>
            <w:r w:rsidRPr="00276249">
              <w:rPr>
                <w:rFonts w:cs="Arial"/>
              </w:rPr>
              <w:t>Cultural Development Manager</w:t>
            </w:r>
          </w:p>
        </w:tc>
      </w:tr>
      <w:tr w:rsidR="00DF093E" w:rsidRPr="00276249" w:rsidTr="00A46E98">
        <w:trPr>
          <w:cantSplit/>
          <w:trHeight w:val="396"/>
        </w:trPr>
        <w:tc>
          <w:tcPr>
            <w:tcW w:w="3969" w:type="dxa"/>
            <w:tcBorders>
              <w:top w:val="nil"/>
              <w:left w:val="single" w:sz="8" w:space="0" w:color="000000"/>
              <w:bottom w:val="nil"/>
              <w:right w:val="nil"/>
            </w:tcBorders>
            <w:shd w:val="clear" w:color="auto" w:fill="auto"/>
          </w:tcPr>
          <w:p w:rsidR="00E87F7A" w:rsidRPr="00276249" w:rsidRDefault="00E87F7A" w:rsidP="00A81904">
            <w:pPr>
              <w:jc w:val="both"/>
              <w:rPr>
                <w:rFonts w:cs="Arial"/>
              </w:rPr>
            </w:pPr>
            <w:r w:rsidRPr="00276249">
              <w:rPr>
                <w:rFonts w:cs="Arial"/>
              </w:rPr>
              <w:t>Service area or department</w:t>
            </w:r>
          </w:p>
        </w:tc>
        <w:tc>
          <w:tcPr>
            <w:tcW w:w="4962" w:type="dxa"/>
            <w:tcBorders>
              <w:top w:val="nil"/>
              <w:left w:val="nil"/>
              <w:bottom w:val="nil"/>
              <w:right w:val="single" w:sz="8" w:space="0" w:color="000000"/>
            </w:tcBorders>
            <w:shd w:val="clear" w:color="auto" w:fill="auto"/>
          </w:tcPr>
          <w:p w:rsidR="00E87F7A" w:rsidRPr="00276249" w:rsidRDefault="004C0C64" w:rsidP="00A81904">
            <w:pPr>
              <w:jc w:val="both"/>
              <w:rPr>
                <w:rFonts w:cs="Arial"/>
              </w:rPr>
            </w:pPr>
            <w:r w:rsidRPr="00276249">
              <w:rPr>
                <w:rFonts w:cs="Arial"/>
              </w:rPr>
              <w:t>Community Services</w:t>
            </w:r>
          </w:p>
        </w:tc>
      </w:tr>
      <w:tr w:rsidR="00DF093E" w:rsidRPr="00276249" w:rsidTr="00A46E98">
        <w:trPr>
          <w:cantSplit/>
          <w:trHeight w:val="396"/>
        </w:trPr>
        <w:tc>
          <w:tcPr>
            <w:tcW w:w="3969" w:type="dxa"/>
            <w:tcBorders>
              <w:top w:val="nil"/>
              <w:left w:val="single" w:sz="8" w:space="0" w:color="000000"/>
              <w:bottom w:val="nil"/>
              <w:right w:val="nil"/>
            </w:tcBorders>
            <w:shd w:val="clear" w:color="auto" w:fill="auto"/>
          </w:tcPr>
          <w:p w:rsidR="00E87F7A" w:rsidRPr="00276249" w:rsidRDefault="00E87F7A" w:rsidP="00A81904">
            <w:pPr>
              <w:jc w:val="both"/>
              <w:rPr>
                <w:rFonts w:cs="Arial"/>
              </w:rPr>
            </w:pPr>
            <w:r w:rsidRPr="00276249">
              <w:rPr>
                <w:rFonts w:cs="Arial"/>
              </w:rPr>
              <w:t xml:space="preserve">Telephone </w:t>
            </w:r>
          </w:p>
        </w:tc>
        <w:tc>
          <w:tcPr>
            <w:tcW w:w="4962" w:type="dxa"/>
            <w:tcBorders>
              <w:top w:val="nil"/>
              <w:left w:val="nil"/>
              <w:bottom w:val="nil"/>
              <w:right w:val="single" w:sz="8" w:space="0" w:color="000000"/>
            </w:tcBorders>
            <w:shd w:val="clear" w:color="auto" w:fill="auto"/>
          </w:tcPr>
          <w:p w:rsidR="00E87F7A" w:rsidRPr="00276249" w:rsidRDefault="00E87F7A" w:rsidP="00A81904">
            <w:pPr>
              <w:jc w:val="both"/>
              <w:rPr>
                <w:rFonts w:cs="Arial"/>
              </w:rPr>
            </w:pPr>
            <w:r w:rsidRPr="00276249">
              <w:rPr>
                <w:rFonts w:cs="Arial"/>
              </w:rPr>
              <w:t xml:space="preserve">01865 </w:t>
            </w:r>
            <w:r w:rsidR="004C0C64" w:rsidRPr="00276249">
              <w:rPr>
                <w:rFonts w:cs="Arial"/>
              </w:rPr>
              <w:t>252780</w:t>
            </w:r>
          </w:p>
        </w:tc>
      </w:tr>
      <w:tr w:rsidR="005570B5" w:rsidRPr="00276249"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276249" w:rsidRDefault="00E87F7A" w:rsidP="00A81904">
            <w:pPr>
              <w:jc w:val="both"/>
              <w:rPr>
                <w:rFonts w:cs="Arial"/>
              </w:rPr>
            </w:pPr>
            <w:r w:rsidRPr="00276249">
              <w:rPr>
                <w:rFonts w:cs="Arial"/>
              </w:rPr>
              <w:t xml:space="preserve">e-mail </w:t>
            </w:r>
          </w:p>
        </w:tc>
        <w:tc>
          <w:tcPr>
            <w:tcW w:w="4962" w:type="dxa"/>
            <w:tcBorders>
              <w:top w:val="nil"/>
              <w:left w:val="nil"/>
              <w:bottom w:val="single" w:sz="8" w:space="0" w:color="000000"/>
              <w:right w:val="single" w:sz="8" w:space="0" w:color="000000"/>
            </w:tcBorders>
            <w:shd w:val="clear" w:color="auto" w:fill="auto"/>
          </w:tcPr>
          <w:p w:rsidR="00E87F7A" w:rsidRPr="00276249" w:rsidRDefault="00360211" w:rsidP="00A81904">
            <w:pPr>
              <w:jc w:val="both"/>
              <w:rPr>
                <w:rStyle w:val="Hyperlink"/>
                <w:rFonts w:cs="Arial"/>
                <w:color w:val="000000"/>
              </w:rPr>
            </w:pPr>
            <w:hyperlink r:id="rId9" w:history="1">
              <w:r w:rsidR="004C0C64" w:rsidRPr="00276249">
                <w:rPr>
                  <w:rStyle w:val="Hyperlink"/>
                  <w:rFonts w:cs="Arial"/>
                </w:rPr>
                <w:t>predway@oxford.gov.uk</w:t>
              </w:r>
            </w:hyperlink>
          </w:p>
        </w:tc>
      </w:tr>
    </w:tbl>
    <w:p w:rsidR="00433B96" w:rsidRPr="00276249" w:rsidRDefault="00433B96" w:rsidP="00A81904">
      <w:pPr>
        <w:jc w:val="both"/>
        <w:rPr>
          <w:rFonts w:cs="Arial"/>
        </w:rPr>
      </w:pPr>
    </w:p>
    <w:p w:rsidR="00CE4C87" w:rsidRPr="00276249" w:rsidRDefault="00CE4C87" w:rsidP="00A81904">
      <w:pPr>
        <w:jc w:val="both"/>
        <w:rPr>
          <w:rFonts w:cs="Arial"/>
        </w:rPr>
      </w:pPr>
    </w:p>
    <w:p w:rsidR="004456DD" w:rsidRPr="00276249" w:rsidRDefault="004456DD" w:rsidP="00A81904">
      <w:pPr>
        <w:jc w:val="both"/>
        <w:rPr>
          <w:rFonts w:cs="Arial"/>
        </w:rPr>
      </w:pPr>
    </w:p>
    <w:sectPr w:rsidR="004456DD" w:rsidRPr="00276249"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79A" w:rsidRDefault="003D779A" w:rsidP="004A6D2F">
      <w:r>
        <w:separator/>
      </w:r>
    </w:p>
  </w:endnote>
  <w:endnote w:type="continuationSeparator" w:id="0">
    <w:p w:rsidR="003D779A" w:rsidRDefault="003D779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669" w:rsidRDefault="002A6669" w:rsidP="004A6D2F">
    <w:pPr>
      <w:pStyle w:val="Footer"/>
    </w:pPr>
    <w:r>
      <w:t>Do not use a footer or page numbers.</w:t>
    </w:r>
  </w:p>
  <w:p w:rsidR="002A6669" w:rsidRDefault="002A6669" w:rsidP="004A6D2F">
    <w:pPr>
      <w:pStyle w:val="Footer"/>
    </w:pPr>
  </w:p>
  <w:p w:rsidR="002A6669" w:rsidRDefault="002A6669"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669" w:rsidRDefault="002A6669"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79A" w:rsidRDefault="003D779A" w:rsidP="004A6D2F">
      <w:r>
        <w:separator/>
      </w:r>
    </w:p>
  </w:footnote>
  <w:footnote w:type="continuationSeparator" w:id="0">
    <w:p w:rsidR="003D779A" w:rsidRDefault="003D779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669" w:rsidRDefault="003C639E"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8B776AE"/>
    <w:multiLevelType w:val="hybridMultilevel"/>
    <w:tmpl w:val="66F2E58E"/>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21E3B3B"/>
    <w:multiLevelType w:val="hybridMultilevel"/>
    <w:tmpl w:val="D0943906"/>
    <w:lvl w:ilvl="0" w:tplc="0809000F">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9B27109"/>
    <w:multiLevelType w:val="hybridMultilevel"/>
    <w:tmpl w:val="0DE0B242"/>
    <w:lvl w:ilvl="0" w:tplc="0809000F">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2263A6A"/>
    <w:multiLevelType w:val="multilevel"/>
    <w:tmpl w:val="43D6D2FA"/>
    <w:numStyleLink w:val="StyleBulletedSymbolsymbolLeft063cmHanging063cm"/>
  </w:abstractNum>
  <w:abstractNum w:abstractNumId="21">
    <w:nsid w:val="24B1433D"/>
    <w:multiLevelType w:val="hybridMultilevel"/>
    <w:tmpl w:val="07661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9925C74"/>
    <w:multiLevelType w:val="hybridMultilevel"/>
    <w:tmpl w:val="1DC45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9EC627B"/>
    <w:multiLevelType w:val="hybridMultilevel"/>
    <w:tmpl w:val="8E9A46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ABA5FD8"/>
    <w:multiLevelType w:val="multilevel"/>
    <w:tmpl w:val="43D6D2FA"/>
    <w:numStyleLink w:val="StyleBulletedSymbolsymbolLeft063cmHanging063cm"/>
  </w:abstractNum>
  <w:abstractNum w:abstractNumId="33">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A22831"/>
    <w:multiLevelType w:val="multilevel"/>
    <w:tmpl w:val="43D6D2FA"/>
    <w:numStyleLink w:val="StyleBulletedSymbolsymbolLeft063cmHanging063cm"/>
  </w:abstractNum>
  <w:abstractNum w:abstractNumId="35">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AFB7AFB"/>
    <w:multiLevelType w:val="hybridMultilevel"/>
    <w:tmpl w:val="645CA828"/>
    <w:lvl w:ilvl="0" w:tplc="0809000F">
      <w:start w:val="3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49283A"/>
    <w:multiLevelType w:val="hybridMultilevel"/>
    <w:tmpl w:val="EC0649B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9">
    <w:nsid w:val="6B97564C"/>
    <w:multiLevelType w:val="hybridMultilevel"/>
    <w:tmpl w:val="BFAA9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C473CC0"/>
    <w:multiLevelType w:val="hybridMultilevel"/>
    <w:tmpl w:val="C840D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0E70D3D"/>
    <w:multiLevelType w:val="hybridMultilevel"/>
    <w:tmpl w:val="8AAEB5CC"/>
    <w:lvl w:ilvl="0" w:tplc="C88E62F2">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98365C6"/>
    <w:multiLevelType w:val="multilevel"/>
    <w:tmpl w:val="E67CE66C"/>
    <w:numStyleLink w:val="StyleNumberedLeft0cmHanging075cm"/>
  </w:abstractNum>
  <w:abstractNum w:abstractNumId="44">
    <w:nsid w:val="7BF1118C"/>
    <w:multiLevelType w:val="hybridMultilevel"/>
    <w:tmpl w:val="B3A8E064"/>
    <w:lvl w:ilvl="0" w:tplc="0809000F">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37"/>
  </w:num>
  <w:num w:numId="3">
    <w:abstractNumId w:val="28"/>
  </w:num>
  <w:num w:numId="4">
    <w:abstractNumId w:val="22"/>
  </w:num>
  <w:num w:numId="5">
    <w:abstractNumId w:val="33"/>
  </w:num>
  <w:num w:numId="6">
    <w:abstractNumId w:val="41"/>
  </w:num>
  <w:num w:numId="7">
    <w:abstractNumId w:val="27"/>
  </w:num>
  <w:num w:numId="8">
    <w:abstractNumId w:val="25"/>
  </w:num>
  <w:num w:numId="9">
    <w:abstractNumId w:val="14"/>
  </w:num>
  <w:num w:numId="10">
    <w:abstractNumId w:val="18"/>
  </w:num>
  <w:num w:numId="11">
    <w:abstractNumId w:val="30"/>
  </w:num>
  <w:num w:numId="12">
    <w:abstractNumId w:val="29"/>
  </w:num>
  <w:num w:numId="13">
    <w:abstractNumId w:val="10"/>
  </w:num>
  <w:num w:numId="14">
    <w:abstractNumId w:val="43"/>
  </w:num>
  <w:num w:numId="15">
    <w:abstractNumId w:val="19"/>
  </w:num>
  <w:num w:numId="16">
    <w:abstractNumId w:val="11"/>
  </w:num>
  <w:num w:numId="17">
    <w:abstractNumId w:val="32"/>
  </w:num>
  <w:num w:numId="18">
    <w:abstractNumId w:val="12"/>
  </w:num>
  <w:num w:numId="19">
    <w:abstractNumId w:val="34"/>
  </w:num>
  <w:num w:numId="20">
    <w:abstractNumId w:val="20"/>
  </w:num>
  <w:num w:numId="21">
    <w:abstractNumId w:val="26"/>
  </w:num>
  <w:num w:numId="22">
    <w:abstractNumId w:val="15"/>
  </w:num>
  <w:num w:numId="23">
    <w:abstractNumId w:val="35"/>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1"/>
  </w:num>
  <w:num w:numId="35">
    <w:abstractNumId w:val="42"/>
  </w:num>
  <w:num w:numId="36">
    <w:abstractNumId w:val="39"/>
  </w:num>
  <w:num w:numId="37">
    <w:abstractNumId w:val="24"/>
  </w:num>
  <w:num w:numId="38">
    <w:abstractNumId w:val="23"/>
  </w:num>
  <w:num w:numId="39">
    <w:abstractNumId w:val="13"/>
  </w:num>
  <w:num w:numId="40">
    <w:abstractNumId w:val="38"/>
  </w:num>
  <w:num w:numId="41">
    <w:abstractNumId w:val="40"/>
  </w:num>
  <w:num w:numId="42">
    <w:abstractNumId w:val="17"/>
  </w:num>
  <w:num w:numId="43">
    <w:abstractNumId w:val="16"/>
  </w:num>
  <w:num w:numId="44">
    <w:abstractNumId w:val="36"/>
  </w:num>
  <w:num w:numId="45">
    <w:abstractNumId w:val="4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296"/>
    <w:rsid w:val="000117D4"/>
    <w:rsid w:val="000173A8"/>
    <w:rsid w:val="000314D7"/>
    <w:rsid w:val="00045F8B"/>
    <w:rsid w:val="00046D2B"/>
    <w:rsid w:val="000535CC"/>
    <w:rsid w:val="00055485"/>
    <w:rsid w:val="00056263"/>
    <w:rsid w:val="00064D8A"/>
    <w:rsid w:val="00064F82"/>
    <w:rsid w:val="00066510"/>
    <w:rsid w:val="00077523"/>
    <w:rsid w:val="000A3EE8"/>
    <w:rsid w:val="000A4F73"/>
    <w:rsid w:val="000B0484"/>
    <w:rsid w:val="000B53E9"/>
    <w:rsid w:val="000C089F"/>
    <w:rsid w:val="000C3928"/>
    <w:rsid w:val="000C5E8E"/>
    <w:rsid w:val="000E595D"/>
    <w:rsid w:val="000F4751"/>
    <w:rsid w:val="001048F9"/>
    <w:rsid w:val="0010524C"/>
    <w:rsid w:val="00111FB1"/>
    <w:rsid w:val="00113418"/>
    <w:rsid w:val="001230A2"/>
    <w:rsid w:val="00123BCA"/>
    <w:rsid w:val="001356F1"/>
    <w:rsid w:val="00136994"/>
    <w:rsid w:val="0014128E"/>
    <w:rsid w:val="00141586"/>
    <w:rsid w:val="00151888"/>
    <w:rsid w:val="001648EF"/>
    <w:rsid w:val="0017047C"/>
    <w:rsid w:val="00170A2D"/>
    <w:rsid w:val="00173532"/>
    <w:rsid w:val="001808BC"/>
    <w:rsid w:val="00182A7C"/>
    <w:rsid w:val="00182B81"/>
    <w:rsid w:val="00185D92"/>
    <w:rsid w:val="0018619D"/>
    <w:rsid w:val="001A011E"/>
    <w:rsid w:val="001A066A"/>
    <w:rsid w:val="001A13E6"/>
    <w:rsid w:val="001A5731"/>
    <w:rsid w:val="001B42C3"/>
    <w:rsid w:val="001C1931"/>
    <w:rsid w:val="001C2666"/>
    <w:rsid w:val="001C47A9"/>
    <w:rsid w:val="001C49B9"/>
    <w:rsid w:val="001C5D5E"/>
    <w:rsid w:val="001C66C6"/>
    <w:rsid w:val="001D1A4C"/>
    <w:rsid w:val="001D3E31"/>
    <w:rsid w:val="001D678D"/>
    <w:rsid w:val="001E03F8"/>
    <w:rsid w:val="001E1678"/>
    <w:rsid w:val="001E3376"/>
    <w:rsid w:val="00203840"/>
    <w:rsid w:val="00203ACB"/>
    <w:rsid w:val="00204ECA"/>
    <w:rsid w:val="002069B3"/>
    <w:rsid w:val="00215456"/>
    <w:rsid w:val="00224217"/>
    <w:rsid w:val="00232620"/>
    <w:rsid w:val="002329CF"/>
    <w:rsid w:val="00232F5B"/>
    <w:rsid w:val="00247C29"/>
    <w:rsid w:val="00256845"/>
    <w:rsid w:val="00257FB2"/>
    <w:rsid w:val="00260467"/>
    <w:rsid w:val="00260C53"/>
    <w:rsid w:val="00263EA3"/>
    <w:rsid w:val="00267BCA"/>
    <w:rsid w:val="00270A17"/>
    <w:rsid w:val="00276249"/>
    <w:rsid w:val="00284F85"/>
    <w:rsid w:val="00290915"/>
    <w:rsid w:val="002A02C8"/>
    <w:rsid w:val="002A22E2"/>
    <w:rsid w:val="002A6669"/>
    <w:rsid w:val="002A6EA0"/>
    <w:rsid w:val="002B446E"/>
    <w:rsid w:val="002C59CB"/>
    <w:rsid w:val="002C64F7"/>
    <w:rsid w:val="002C728B"/>
    <w:rsid w:val="002D6838"/>
    <w:rsid w:val="002E11F1"/>
    <w:rsid w:val="002E4107"/>
    <w:rsid w:val="002E6019"/>
    <w:rsid w:val="002F41F2"/>
    <w:rsid w:val="002F5933"/>
    <w:rsid w:val="00300899"/>
    <w:rsid w:val="00301BF3"/>
    <w:rsid w:val="00301C48"/>
    <w:rsid w:val="0030208D"/>
    <w:rsid w:val="003066F0"/>
    <w:rsid w:val="00310526"/>
    <w:rsid w:val="00312ACB"/>
    <w:rsid w:val="0031363B"/>
    <w:rsid w:val="00323418"/>
    <w:rsid w:val="003357BF"/>
    <w:rsid w:val="0035143E"/>
    <w:rsid w:val="00351D40"/>
    <w:rsid w:val="00356C9F"/>
    <w:rsid w:val="00360211"/>
    <w:rsid w:val="00364FAD"/>
    <w:rsid w:val="0036738F"/>
    <w:rsid w:val="0036759C"/>
    <w:rsid w:val="00367AE5"/>
    <w:rsid w:val="00367D71"/>
    <w:rsid w:val="0038150A"/>
    <w:rsid w:val="003A290A"/>
    <w:rsid w:val="003A446F"/>
    <w:rsid w:val="003A5C5C"/>
    <w:rsid w:val="003B1B29"/>
    <w:rsid w:val="003B6E75"/>
    <w:rsid w:val="003B7DA1"/>
    <w:rsid w:val="003C0E85"/>
    <w:rsid w:val="003C1520"/>
    <w:rsid w:val="003C3BE6"/>
    <w:rsid w:val="003C6307"/>
    <w:rsid w:val="003C639E"/>
    <w:rsid w:val="003D0379"/>
    <w:rsid w:val="003D2574"/>
    <w:rsid w:val="003D4C59"/>
    <w:rsid w:val="003D779A"/>
    <w:rsid w:val="003F4267"/>
    <w:rsid w:val="003F6B2E"/>
    <w:rsid w:val="00404032"/>
    <w:rsid w:val="00406100"/>
    <w:rsid w:val="0040736F"/>
    <w:rsid w:val="00410049"/>
    <w:rsid w:val="00412C1F"/>
    <w:rsid w:val="00415151"/>
    <w:rsid w:val="00421CB2"/>
    <w:rsid w:val="004268B9"/>
    <w:rsid w:val="00433B96"/>
    <w:rsid w:val="004340FD"/>
    <w:rsid w:val="004440F1"/>
    <w:rsid w:val="004456DD"/>
    <w:rsid w:val="00445B46"/>
    <w:rsid w:val="00446CDF"/>
    <w:rsid w:val="004521B7"/>
    <w:rsid w:val="00460F3C"/>
    <w:rsid w:val="00462AB5"/>
    <w:rsid w:val="00465EAF"/>
    <w:rsid w:val="004738C5"/>
    <w:rsid w:val="00480859"/>
    <w:rsid w:val="0048096C"/>
    <w:rsid w:val="0048330A"/>
    <w:rsid w:val="00491046"/>
    <w:rsid w:val="004940A7"/>
    <w:rsid w:val="00495541"/>
    <w:rsid w:val="004A2AC7"/>
    <w:rsid w:val="004A6D2F"/>
    <w:rsid w:val="004B4027"/>
    <w:rsid w:val="004C0C64"/>
    <w:rsid w:val="004C1414"/>
    <w:rsid w:val="004C2887"/>
    <w:rsid w:val="004C675B"/>
    <w:rsid w:val="004D2626"/>
    <w:rsid w:val="004D6DC0"/>
    <w:rsid w:val="004D6E26"/>
    <w:rsid w:val="004D77D3"/>
    <w:rsid w:val="004E2959"/>
    <w:rsid w:val="004E3EE9"/>
    <w:rsid w:val="004F1A5B"/>
    <w:rsid w:val="004F20EF"/>
    <w:rsid w:val="0050321C"/>
    <w:rsid w:val="00503AE1"/>
    <w:rsid w:val="005102D4"/>
    <w:rsid w:val="00516E43"/>
    <w:rsid w:val="00525508"/>
    <w:rsid w:val="00526FC7"/>
    <w:rsid w:val="0054712D"/>
    <w:rsid w:val="00547173"/>
    <w:rsid w:val="00547EF6"/>
    <w:rsid w:val="00552AD0"/>
    <w:rsid w:val="005570B5"/>
    <w:rsid w:val="0056052D"/>
    <w:rsid w:val="005647BD"/>
    <w:rsid w:val="00567E18"/>
    <w:rsid w:val="0057080A"/>
    <w:rsid w:val="00573524"/>
    <w:rsid w:val="00575F5F"/>
    <w:rsid w:val="00577F6B"/>
    <w:rsid w:val="00581805"/>
    <w:rsid w:val="00585F76"/>
    <w:rsid w:val="00586D7C"/>
    <w:rsid w:val="005A0E09"/>
    <w:rsid w:val="005A34E4"/>
    <w:rsid w:val="005B17F2"/>
    <w:rsid w:val="005B7FB0"/>
    <w:rsid w:val="005C35A5"/>
    <w:rsid w:val="005C577C"/>
    <w:rsid w:val="005C65B5"/>
    <w:rsid w:val="005C66E9"/>
    <w:rsid w:val="005D0621"/>
    <w:rsid w:val="005D1E27"/>
    <w:rsid w:val="005D27EB"/>
    <w:rsid w:val="005D2A3E"/>
    <w:rsid w:val="005D5B0F"/>
    <w:rsid w:val="005E022E"/>
    <w:rsid w:val="005E5215"/>
    <w:rsid w:val="005F7F7E"/>
    <w:rsid w:val="0060659A"/>
    <w:rsid w:val="00614693"/>
    <w:rsid w:val="00623C2F"/>
    <w:rsid w:val="006242D7"/>
    <w:rsid w:val="00633578"/>
    <w:rsid w:val="00633CE3"/>
    <w:rsid w:val="00635DA4"/>
    <w:rsid w:val="00637068"/>
    <w:rsid w:val="00650811"/>
    <w:rsid w:val="00661D3E"/>
    <w:rsid w:val="00663AD1"/>
    <w:rsid w:val="00664672"/>
    <w:rsid w:val="00674BFB"/>
    <w:rsid w:val="00681199"/>
    <w:rsid w:val="0068784F"/>
    <w:rsid w:val="00692627"/>
    <w:rsid w:val="006969E7"/>
    <w:rsid w:val="00696A3C"/>
    <w:rsid w:val="006A19A8"/>
    <w:rsid w:val="006A3643"/>
    <w:rsid w:val="006A3690"/>
    <w:rsid w:val="006A7677"/>
    <w:rsid w:val="006B4BD4"/>
    <w:rsid w:val="006C2A29"/>
    <w:rsid w:val="006C4AE7"/>
    <w:rsid w:val="006C64CF"/>
    <w:rsid w:val="006C662B"/>
    <w:rsid w:val="006C7726"/>
    <w:rsid w:val="006C7CCA"/>
    <w:rsid w:val="006D17B1"/>
    <w:rsid w:val="006D4752"/>
    <w:rsid w:val="006D708A"/>
    <w:rsid w:val="006E14C1"/>
    <w:rsid w:val="006E4E10"/>
    <w:rsid w:val="006F0292"/>
    <w:rsid w:val="006F27FA"/>
    <w:rsid w:val="006F416B"/>
    <w:rsid w:val="006F519B"/>
    <w:rsid w:val="0070119B"/>
    <w:rsid w:val="00703B1E"/>
    <w:rsid w:val="007102BA"/>
    <w:rsid w:val="00711DF9"/>
    <w:rsid w:val="00713675"/>
    <w:rsid w:val="00715823"/>
    <w:rsid w:val="00737B93"/>
    <w:rsid w:val="00745BF0"/>
    <w:rsid w:val="007500C7"/>
    <w:rsid w:val="00754C62"/>
    <w:rsid w:val="007615FE"/>
    <w:rsid w:val="0076655C"/>
    <w:rsid w:val="00771241"/>
    <w:rsid w:val="007742DC"/>
    <w:rsid w:val="00776934"/>
    <w:rsid w:val="007775C6"/>
    <w:rsid w:val="00783006"/>
    <w:rsid w:val="007908DD"/>
    <w:rsid w:val="00791437"/>
    <w:rsid w:val="007B0C2C"/>
    <w:rsid w:val="007B278E"/>
    <w:rsid w:val="007C2CE7"/>
    <w:rsid w:val="007C5C23"/>
    <w:rsid w:val="007D2363"/>
    <w:rsid w:val="007E2A26"/>
    <w:rsid w:val="007F2348"/>
    <w:rsid w:val="007F2498"/>
    <w:rsid w:val="007F3017"/>
    <w:rsid w:val="007F6FD5"/>
    <w:rsid w:val="008018B1"/>
    <w:rsid w:val="00803F07"/>
    <w:rsid w:val="0080749A"/>
    <w:rsid w:val="008131B4"/>
    <w:rsid w:val="00814506"/>
    <w:rsid w:val="00817FE5"/>
    <w:rsid w:val="00821895"/>
    <w:rsid w:val="00821FB8"/>
    <w:rsid w:val="00822ACD"/>
    <w:rsid w:val="00827F18"/>
    <w:rsid w:val="00855C66"/>
    <w:rsid w:val="00871EE4"/>
    <w:rsid w:val="00872653"/>
    <w:rsid w:val="00872660"/>
    <w:rsid w:val="008753F6"/>
    <w:rsid w:val="0087594D"/>
    <w:rsid w:val="00875C80"/>
    <w:rsid w:val="00883D38"/>
    <w:rsid w:val="00892F1A"/>
    <w:rsid w:val="00893786"/>
    <w:rsid w:val="008A2C73"/>
    <w:rsid w:val="008A2FD9"/>
    <w:rsid w:val="008B238F"/>
    <w:rsid w:val="008B293F"/>
    <w:rsid w:val="008B7371"/>
    <w:rsid w:val="008D24EA"/>
    <w:rsid w:val="008D3B20"/>
    <w:rsid w:val="008D3DDB"/>
    <w:rsid w:val="008E342A"/>
    <w:rsid w:val="008F573F"/>
    <w:rsid w:val="009034EC"/>
    <w:rsid w:val="00913BB6"/>
    <w:rsid w:val="00915017"/>
    <w:rsid w:val="00916FFD"/>
    <w:rsid w:val="0093067A"/>
    <w:rsid w:val="009355B1"/>
    <w:rsid w:val="00941C60"/>
    <w:rsid w:val="0095422D"/>
    <w:rsid w:val="00957825"/>
    <w:rsid w:val="00961D0B"/>
    <w:rsid w:val="00962B85"/>
    <w:rsid w:val="00963861"/>
    <w:rsid w:val="00966D42"/>
    <w:rsid w:val="00971689"/>
    <w:rsid w:val="00973E90"/>
    <w:rsid w:val="00975B07"/>
    <w:rsid w:val="00980B4A"/>
    <w:rsid w:val="0098262B"/>
    <w:rsid w:val="00984A8C"/>
    <w:rsid w:val="00990F40"/>
    <w:rsid w:val="009A1B18"/>
    <w:rsid w:val="009A4BE5"/>
    <w:rsid w:val="009C6048"/>
    <w:rsid w:val="009C6991"/>
    <w:rsid w:val="009D7AA3"/>
    <w:rsid w:val="009E3D0A"/>
    <w:rsid w:val="009E51FC"/>
    <w:rsid w:val="009F1D28"/>
    <w:rsid w:val="009F7618"/>
    <w:rsid w:val="00A04D23"/>
    <w:rsid w:val="00A06623"/>
    <w:rsid w:val="00A06766"/>
    <w:rsid w:val="00A13765"/>
    <w:rsid w:val="00A21B12"/>
    <w:rsid w:val="00A23F80"/>
    <w:rsid w:val="00A4280D"/>
    <w:rsid w:val="00A44F4B"/>
    <w:rsid w:val="00A46823"/>
    <w:rsid w:val="00A46E98"/>
    <w:rsid w:val="00A514E5"/>
    <w:rsid w:val="00A6352B"/>
    <w:rsid w:val="00A701B5"/>
    <w:rsid w:val="00A714BB"/>
    <w:rsid w:val="00A81904"/>
    <w:rsid w:val="00A82CD3"/>
    <w:rsid w:val="00A92D8F"/>
    <w:rsid w:val="00AB2988"/>
    <w:rsid w:val="00AB2FF3"/>
    <w:rsid w:val="00AB5246"/>
    <w:rsid w:val="00AB7999"/>
    <w:rsid w:val="00AD0C1B"/>
    <w:rsid w:val="00AD1B4C"/>
    <w:rsid w:val="00AD3292"/>
    <w:rsid w:val="00AE1D2C"/>
    <w:rsid w:val="00AE4963"/>
    <w:rsid w:val="00AE7995"/>
    <w:rsid w:val="00AE7AF0"/>
    <w:rsid w:val="00B13A92"/>
    <w:rsid w:val="00B25DBB"/>
    <w:rsid w:val="00B343EF"/>
    <w:rsid w:val="00B34C7D"/>
    <w:rsid w:val="00B356C5"/>
    <w:rsid w:val="00B500CA"/>
    <w:rsid w:val="00B60B8E"/>
    <w:rsid w:val="00B66BCC"/>
    <w:rsid w:val="00B82156"/>
    <w:rsid w:val="00B86314"/>
    <w:rsid w:val="00B903F1"/>
    <w:rsid w:val="00BA1C2E"/>
    <w:rsid w:val="00BB3D87"/>
    <w:rsid w:val="00BB4EF5"/>
    <w:rsid w:val="00BC200B"/>
    <w:rsid w:val="00BC4756"/>
    <w:rsid w:val="00BC69A4"/>
    <w:rsid w:val="00BD3F72"/>
    <w:rsid w:val="00BD515E"/>
    <w:rsid w:val="00BE009C"/>
    <w:rsid w:val="00BE0680"/>
    <w:rsid w:val="00BE305F"/>
    <w:rsid w:val="00BE7BA3"/>
    <w:rsid w:val="00BF5682"/>
    <w:rsid w:val="00BF7B09"/>
    <w:rsid w:val="00C05770"/>
    <w:rsid w:val="00C100E8"/>
    <w:rsid w:val="00C15626"/>
    <w:rsid w:val="00C20A95"/>
    <w:rsid w:val="00C2692F"/>
    <w:rsid w:val="00C3207C"/>
    <w:rsid w:val="00C400E1"/>
    <w:rsid w:val="00C41187"/>
    <w:rsid w:val="00C60DC4"/>
    <w:rsid w:val="00C61919"/>
    <w:rsid w:val="00C63811"/>
    <w:rsid w:val="00C63C31"/>
    <w:rsid w:val="00C757A0"/>
    <w:rsid w:val="00C760DE"/>
    <w:rsid w:val="00C82630"/>
    <w:rsid w:val="00C85B4E"/>
    <w:rsid w:val="00C907F7"/>
    <w:rsid w:val="00C95296"/>
    <w:rsid w:val="00C95CCC"/>
    <w:rsid w:val="00CA2103"/>
    <w:rsid w:val="00CB6B99"/>
    <w:rsid w:val="00CC5352"/>
    <w:rsid w:val="00CE1B13"/>
    <w:rsid w:val="00CE4C87"/>
    <w:rsid w:val="00CE4D72"/>
    <w:rsid w:val="00CE544A"/>
    <w:rsid w:val="00CE6589"/>
    <w:rsid w:val="00D11E1C"/>
    <w:rsid w:val="00D12D57"/>
    <w:rsid w:val="00D160B0"/>
    <w:rsid w:val="00D17F94"/>
    <w:rsid w:val="00D223FC"/>
    <w:rsid w:val="00D26D1E"/>
    <w:rsid w:val="00D3097F"/>
    <w:rsid w:val="00D3295A"/>
    <w:rsid w:val="00D474CF"/>
    <w:rsid w:val="00D5547E"/>
    <w:rsid w:val="00D5754E"/>
    <w:rsid w:val="00D6350D"/>
    <w:rsid w:val="00D73F1E"/>
    <w:rsid w:val="00D869A1"/>
    <w:rsid w:val="00D91EBD"/>
    <w:rsid w:val="00D92D3B"/>
    <w:rsid w:val="00DA413F"/>
    <w:rsid w:val="00DA4584"/>
    <w:rsid w:val="00DA614B"/>
    <w:rsid w:val="00DB4ACA"/>
    <w:rsid w:val="00DC3060"/>
    <w:rsid w:val="00DC4BAF"/>
    <w:rsid w:val="00DE0FB2"/>
    <w:rsid w:val="00DF093E"/>
    <w:rsid w:val="00E01F42"/>
    <w:rsid w:val="00E053CA"/>
    <w:rsid w:val="00E1017A"/>
    <w:rsid w:val="00E16527"/>
    <w:rsid w:val="00E16DE3"/>
    <w:rsid w:val="00E206D6"/>
    <w:rsid w:val="00E2537D"/>
    <w:rsid w:val="00E3366E"/>
    <w:rsid w:val="00E4403D"/>
    <w:rsid w:val="00E46ABF"/>
    <w:rsid w:val="00E47015"/>
    <w:rsid w:val="00E52086"/>
    <w:rsid w:val="00E543A6"/>
    <w:rsid w:val="00E5549E"/>
    <w:rsid w:val="00E60479"/>
    <w:rsid w:val="00E61D73"/>
    <w:rsid w:val="00E63FC2"/>
    <w:rsid w:val="00E650C6"/>
    <w:rsid w:val="00E66ACD"/>
    <w:rsid w:val="00E73684"/>
    <w:rsid w:val="00E818D6"/>
    <w:rsid w:val="00E85070"/>
    <w:rsid w:val="00E87F7A"/>
    <w:rsid w:val="00E94155"/>
    <w:rsid w:val="00E95132"/>
    <w:rsid w:val="00E96BD7"/>
    <w:rsid w:val="00EA0AB6"/>
    <w:rsid w:val="00EA0DB1"/>
    <w:rsid w:val="00EA0EE9"/>
    <w:rsid w:val="00EA7207"/>
    <w:rsid w:val="00EB4410"/>
    <w:rsid w:val="00EB59E2"/>
    <w:rsid w:val="00EB600F"/>
    <w:rsid w:val="00EC18B8"/>
    <w:rsid w:val="00EC5FBF"/>
    <w:rsid w:val="00ED52CA"/>
    <w:rsid w:val="00ED5860"/>
    <w:rsid w:val="00EE35C9"/>
    <w:rsid w:val="00EE5547"/>
    <w:rsid w:val="00F05ECA"/>
    <w:rsid w:val="00F3566E"/>
    <w:rsid w:val="00F375FB"/>
    <w:rsid w:val="00F41AC1"/>
    <w:rsid w:val="00F4367A"/>
    <w:rsid w:val="00F445B1"/>
    <w:rsid w:val="00F45CD4"/>
    <w:rsid w:val="00F61A37"/>
    <w:rsid w:val="00F63B20"/>
    <w:rsid w:val="00F66DCA"/>
    <w:rsid w:val="00F6702C"/>
    <w:rsid w:val="00F71AF9"/>
    <w:rsid w:val="00F72A21"/>
    <w:rsid w:val="00F73065"/>
    <w:rsid w:val="00F74F53"/>
    <w:rsid w:val="00F7606D"/>
    <w:rsid w:val="00F76519"/>
    <w:rsid w:val="00F81670"/>
    <w:rsid w:val="00F82024"/>
    <w:rsid w:val="00F95BC9"/>
    <w:rsid w:val="00F96614"/>
    <w:rsid w:val="00FA3152"/>
    <w:rsid w:val="00FA624C"/>
    <w:rsid w:val="00FB636D"/>
    <w:rsid w:val="00FB7279"/>
    <w:rsid w:val="00FC50CF"/>
    <w:rsid w:val="00FD0FAC"/>
    <w:rsid w:val="00FD1DFA"/>
    <w:rsid w:val="00FD4966"/>
    <w:rsid w:val="00FE220B"/>
    <w:rsid w:val="00FE3238"/>
    <w:rsid w:val="00FE57DC"/>
    <w:rsid w:val="00FF18C4"/>
    <w:rsid w:val="00FF2C54"/>
    <w:rsid w:val="00FF7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37373086">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3911174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331039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1962429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2204183">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71981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edway@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1D925-FB08-413D-9352-B2FC3DD47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65B36B9B</Template>
  <TotalTime>42</TotalTime>
  <Pages>6</Pages>
  <Words>2310</Words>
  <Characters>12799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15079</CharactersWithSpaces>
  <SharedDoc>false</SharedDoc>
  <HLinks>
    <vt:vector size="6" baseType="variant">
      <vt:variant>
        <vt:i4>393322</vt:i4>
      </vt:variant>
      <vt:variant>
        <vt:i4>0</vt:i4>
      </vt:variant>
      <vt:variant>
        <vt:i4>0</vt:i4>
      </vt:variant>
      <vt:variant>
        <vt:i4>5</vt:i4>
      </vt:variant>
      <vt:variant>
        <vt:lpwstr>mailto:predway@oxford.gov.uk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IBrooke</dc:creator>
  <cp:lastModifiedBy>abrown2</cp:lastModifiedBy>
  <cp:revision>11</cp:revision>
  <cp:lastPrinted>2015-07-03T13:50:00Z</cp:lastPrinted>
  <dcterms:created xsi:type="dcterms:W3CDTF">2019-02-27T11:27:00Z</dcterms:created>
  <dcterms:modified xsi:type="dcterms:W3CDTF">2019-02-27T16:56:00Z</dcterms:modified>
</cp:coreProperties>
</file>